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240"/>
        <w:jc w:val="center"/>
        <w:rPr/>
      </w:pPr>
      <w:r>
        <w:rPr>
          <w:b/>
          <w:bCs/>
        </w:rPr>
        <w:t>"AN ODIOUS CLASS OF OFFENCES": THE COLONIAL CONSTRUCTION OF SEXUAL MORALITY IN BRITISH INDIA</w:t>
      </w:r>
    </w:p>
    <w:p>
      <w:pPr>
        <w:pStyle w:val="Heading1"/>
        <w:spacing w:before="360" w:after="200"/>
        <w:rPr/>
      </w:pPr>
      <w:r>
        <w:rPr/>
        <w:t>Introduction</w:t>
      </w:r>
    </w:p>
    <w:p>
      <w:pPr>
        <w:pStyle w:val="Normal"/>
        <w:spacing w:lineRule="auto" w:line="480"/>
        <w:rPr/>
      </w:pPr>
      <w:r>
        <w:rPr/>
        <w:t>In its 2023 affidavit to the Supreme Court of India opposing marriage equality, the Union government argued that acceptance of same-sex marriage reflected "urban elitist" values incompatible with the Indian family.</w:t>
      </w:r>
      <w:r>
        <w:rPr>
          <w:vertAlign w:val="superscript"/>
        </w:rPr>
        <w:t>1</w:t>
      </w:r>
      <w:r>
        <w:rPr/>
        <w:t xml:space="preserve"> Yet, it was another former colony, South Africa, that became the first nation to codify explicit constitutional protection against discrimination on the basis of sexual orientation, in its interim Constitution of 1993, long before Europe or the Americas.</w:t>
      </w:r>
      <w:r>
        <w:rPr>
          <w:vertAlign w:val="superscript"/>
        </w:rPr>
        <w:t>2</w:t>
      </w:r>
      <w:r>
        <w:rPr/>
        <w:t xml:space="preserve"> If the prohibition of same-sex conduct were purely a colonial imposition, one might expect postcolonial states with similar legal inheritances - such as South Africa and India - to discard it at independence. However, India retained Section 377 of its Penal Code until 2018, more than seventy years after independence; its description as reflective of Indian society provides some insight into how it outlasted the empire that introduced it. A major argument furthered by South African gay-rights activists in the years surrounding the drafting of the 1996 constitution was that homophobia, rather than homosexuality, was the European import: the sodomy statutes had arrived with colonial administration, and their repeal was therefore a form of decolonial reclamation rather than a Western concession.</w:t>
      </w:r>
      <w:r>
        <w:rPr>
          <w:vertAlign w:val="superscript"/>
        </w:rPr>
        <w:t>3</w:t>
      </w:r>
      <w:r>
        <w:rPr/>
        <w:t xml:space="preserve"> This argument and its later codification claimed sexual non-conformity as native to the continent, against popular belief, and this reframes the question of 'traditionality': to what extent did precolonial societies, including India, recognise forms of sexual diversity later classified as 'unnatural' under colonial law?</w:t>
      </w:r>
    </w:p>
    <w:p>
      <w:pPr>
        <w:pStyle w:val="Normal"/>
        <w:spacing w:lineRule="auto" w:line="480"/>
        <w:ind w:firstLine="720"/>
        <w:rPr/>
      </w:pPr>
      <w:r>
        <w:rPr/>
        <w:t>And, indeed, this characterisation of unnaturality is difficult to sustain in light of precolonial Indian texts that explicitly reference same-sex desire and gender variance. Classical Hindu philosophical traditions recognised kāma (desire) as one of the four puruṣārthas, or legitimate aims of human life with texts such as the Kāma Sūtra (c. 2nd-3rd century CE) systematising these discussions of erotic life.</w:t>
      </w:r>
      <w:r>
        <w:rPr>
          <w:vertAlign w:val="superscript"/>
        </w:rPr>
        <w:t>4</w:t>
      </w:r>
      <w:r>
        <w:rPr/>
        <w:t xml:space="preserve"> If homosexuality were truly alien to Indian culture, it would be difficult to explain why that same culture produced, in the ninth chapter of the Kama Sutra's second book, passages concerning homoerotic acts and non-normative sexual roles, composed more than 1200 years before England would criminalise sodomy at all.</w:t>
      </w:r>
      <w:r>
        <w:rPr>
          <w:vertAlign w:val="superscript"/>
        </w:rPr>
        <w:t>5</w:t>
      </w:r>
      <w:r>
        <w:rPr/>
        <w:t xml:space="preserve"> Those same practices regarded today as a Western construct were, in Richard Burton's 1886 Terminal Essay for The Thousand Nights and a Night, mapped as endemic to a zone that included India and explicitly excluded England.</w:t>
      </w:r>
      <w:r>
        <w:rPr>
          <w:vertAlign w:val="superscript"/>
        </w:rPr>
        <w:t>6</w:t>
      </w:r>
    </w:p>
    <w:p>
      <w:pPr>
        <w:pStyle w:val="Normal"/>
        <w:spacing w:lineRule="auto" w:line="480"/>
        <w:ind w:firstLine="720"/>
        <w:rPr/>
      </w:pPr>
      <w:r>
        <w:rPr/>
        <w:t>This duality, with India rejecting a facet of its own culture as imported, was shaped by a pattern of forgetting that began with the moral code of the British. Colonial rule is remembered as a wrong done to India, and homosexuality has been taught for a century and a half to be a wrong in itself. The two came to be treated as if they shared an origin. Prima facie, this dissolves the contradiction between traditionality, seen as morally right, and non-normative sexuality, regarded as a sin. If the two are distinct in origin, no contradiction arises. The resolution holds only if the moral framework doing the judging is itself indigenous, and it is not. Colonial law's standard for "carnal intercourse against the order of nature" rested on a Christian, procreative definition of nature, laid over a tradition in which desire sat beside duty and wealth as one of life's four legitimate aims. A white object seen through tinted glass appears coloured, and the tint is not a property of what is seen. Judged through categories it did not produce, the tradition is made to condemn itself. The more interesting question is not whether this is true - for that has been previously documented - but rather by what logic the colonial state chose the instrument that changed this morality and how thoroughly it was embedded, so that it now provides one of the most striking political paradoxes in India.</w:t>
      </w:r>
    </w:p>
    <w:p>
      <w:pPr>
        <w:pStyle w:val="Normal"/>
        <w:spacing w:lineRule="auto" w:line="480"/>
        <w:ind w:firstLine="720"/>
        <w:rPr/>
      </w:pPr>
      <w:r>
        <w:rPr/>
        <w:t>This paper will argue that the choice between administrative policy and moral-criminal law, and between provisions naming a community and provisions binding everyone, was the basis of this regulation. While scholars such as Stoler and Puri demonstrate how sexual regulation underwrote colonial authority, this paper adds a decision-rule account: when and why the colonial state routed conduct into moral-criminal law rather than administrative or community-specific regulation. Three factors governed that decision-rule: the criticality of a given conduct to the legitimacy of colonial rule; the diffuseness of the perceived "problem", judged against the gap between the status quo and their desired outcome; and the attitude of the society towards the conduct at the moment of intervention. For same-sex conduct the criminal route was older than the code: buggery was already a capital offence in the Crown's courts under an Act of 1828, and the Islamic criminal law administered in most of the Company's courts left liwat to the judge's discretion.</w:t>
      </w:r>
      <w:r>
        <w:rPr>
          <w:vertAlign w:val="superscript"/>
        </w:rPr>
        <w:t>7</w:t>
      </w:r>
      <w:r>
        <w:rPr/>
        <w:t xml:space="preserve"> What the Indian Penal Code decided between 1837 and 1860 was the form and reach of the prohibition, and it is that decision, and the prohibition's survival afterwards, that this paper explains. Same-sex conduct scored toward criminalisation on all three, but unevenly, and most tellingly on the third, where prohibition functioned less as a response to an existing Indian moral consensus than as a tool for the construction of one. The argument proceeds by first situating itself against existing scholarship on colonial legal governance, then developing the three-factor framework from the historical record, then applying that framework to same-sex conduct specifically and to the sexual conduct the state visibly chose to treat differently, and finally asking why some colonial moral categories outlive colonial rule while others do not.</w:t>
      </w:r>
    </w:p>
    <w:p>
      <w:pPr>
        <w:pStyle w:val="Heading1"/>
        <w:spacing w:before="360" w:after="200"/>
        <w:rPr/>
      </w:pPr>
      <w:r>
        <w:rPr/>
        <w:t>What Colonial Law Replaced</w:t>
      </w:r>
    </w:p>
    <w:p>
      <w:pPr>
        <w:pStyle w:val="Normal"/>
        <w:spacing w:lineRule="auto" w:line="480"/>
        <w:rPr/>
      </w:pPr>
      <w:r>
        <w:rPr/>
        <w:t>The purpose here is to make visible the reach and intensity with which the British regulated same sex conduct in India. For this to be evident and to visualise the change this created in the moral apparatus of the nation, it is pertinent to analyse the two sides of the spectrum: the extent to which pre-colonial sexual plurality existed, and the extent to which colonial regulation permanently changed the moral apparatus, creating the post-colonial reality of today.</w:t>
      </w:r>
    </w:p>
    <w:p>
      <w:pPr>
        <w:pStyle w:val="Normal"/>
        <w:spacing w:lineRule="auto" w:line="480"/>
        <w:ind w:firstLine="720"/>
        <w:rPr/>
      </w:pPr>
      <w:r>
        <w:rPr/>
        <w:t>Before discussing the pre-colonial archive further, it is pertinent to point out that proving the existence of sexual and gender plurality in precolonial India does not require claiming that the subcontinent was uniformly or continuously tolerant. Ruth Vanita and Saleem Kidwai's Same-Sex Love in India (2000) establishes that representations of homosexuality and gender non-normativity that appear in precolonial India's literary, religious, and legal archives are largely plural, meaning that there are still certain instances where same-sex conduct was looked down upon and even criminalised in certain communities.</w:t>
      </w:r>
      <w:r>
        <w:rPr>
          <w:vertAlign w:val="superscript"/>
        </w:rPr>
        <w:t>8</w:t>
      </w:r>
      <w:r>
        <w:rPr/>
        <w:t xml:space="preserve"> Crucially, even this condemnation was largely public in nature since it would be pertinent to consider the religious differences within any civilisation. The best example is the Fatawa-e-Alamgiri, compiled under the Mughal empire, whose penalties turned on the offender's status and left much to the judge's discretion. This was considerably different from British regulation in its scope and intention. Further, even in instances of regulation, there was no overarching framework or authority for universal implementation.</w:t>
      </w:r>
    </w:p>
    <w:p>
      <w:pPr>
        <w:pStyle w:val="Normal"/>
        <w:spacing w:lineRule="auto" w:line="480"/>
        <w:ind w:firstLine="720"/>
        <w:rPr/>
      </w:pPr>
      <w:r>
        <w:rPr/>
        <w:t>Even within this pre-colonial archive, same-sex conduct is notably documented within the scope of religious, legal and political spheres. While religion is the core construct that largely gave same-sex conduct a moral seal of approval, this approval was mediated, in turn, in political considerations of the maintenance of a patriarchal hierarchy and the legal limitations including those of consent and secular differences.</w:t>
      </w:r>
    </w:p>
    <w:p>
      <w:pPr>
        <w:pStyle w:val="Normal"/>
        <w:spacing w:lineRule="auto" w:line="480"/>
        <w:ind w:firstLine="720"/>
        <w:rPr/>
      </w:pPr>
      <w:r>
        <w:rPr/>
        <w:t>Since religion is the primary genesis of moral acceptance, the first part of this discussion highlights prominent inclusion of gender and sexual non normativity in religious texts mainly in Hinduism and Islam - the two dominant religions in the subcontinent at the time. The most significant contribution to the acceptance of non-normativity in Hinduism comes during the Bhakti period. As Rohit Dasgupta documents, this period transformed gods from superior beings to being seen in the framework of benign social relations: being friends, lovers, spouses and even children.</w:t>
      </w:r>
      <w:r>
        <w:rPr>
          <w:vertAlign w:val="superscript"/>
        </w:rPr>
        <w:t>9</w:t>
      </w:r>
      <w:r>
        <w:rPr/>
        <w:t xml:space="preserve"> A.K. Ramanujan, in his book Speaking of Śiva, further references this as the first concrete religious break from the traditional biological and reproductive family unit such that love and desire is, here, conflated with devotion allowing forms of homo-eroticism in devotional literature.</w:t>
      </w:r>
      <w:r>
        <w:rPr>
          <w:vertAlign w:val="superscript"/>
        </w:rPr>
        <w:t>10</w:t>
      </w:r>
    </w:p>
    <w:p>
      <w:pPr>
        <w:pStyle w:val="Normal"/>
        <w:spacing w:lineRule="auto" w:line="480"/>
        <w:ind w:firstLine="720"/>
        <w:rPr/>
      </w:pPr>
      <w:r>
        <w:rPr/>
        <w:t>Beyond this initial rupture, evidence of divine sanctioning of sexual and gender non-normativity is evident even in mythology. Here, Devdutt Pattanaik documents in his book, Shikhandi and Other Tales They Don't Tell You, the figure of Ardhanarishvara - the composite deity formed by the merger of Shiva and Parvati, depicted as half-male and half-female - as the best-known example of gender plurality being at the apex of Hindu theology.</w:t>
      </w:r>
      <w:r>
        <w:rPr>
          <w:vertAlign w:val="superscript"/>
        </w:rPr>
        <w:t>11</w:t>
      </w:r>
      <w:r>
        <w:rPr/>
        <w:t xml:space="preserve"> The Mahabharata's Shikhandi is shown to depict a similar idea: born female to King Drupada, raised as a male, married to a princess, and eventually recognised as fully male after her exchanging of sexes with a yaksha in the forest being divinely sanctioned. At the level of material culture, Devangana Desai, in her Erotic Sculpture of India, writes about the most famous example of representation: the exterior wall of the Kandariya Mahadeva temple at Khajuraho - built around 1050 CE - includes mithuna sculptural panels, showing male figures pleasuring each-other, flanked by what historians have read as attending celestial figures.</w:t>
      </w:r>
      <w:r>
        <w:rPr>
          <w:vertAlign w:val="superscript"/>
        </w:rPr>
        <w:t>12</w:t>
      </w:r>
    </w:p>
    <w:p>
      <w:pPr>
        <w:pStyle w:val="Normal"/>
        <w:spacing w:lineRule="auto" w:line="480"/>
        <w:ind w:firstLine="720"/>
        <w:rPr/>
      </w:pPr>
      <w:r>
        <w:rPr/>
        <w:t>Islam was undoubtedly more conservative in text, going as far as to condemn same sex relations in the Quran. However, according to Muzaffar Alam, Islam was never fully integrated with the state's administrative apparatus even during the Mughal dynasty and especially not to the extent wherein laws from the Quran would be used to govern a diverse demographic.</w:t>
      </w:r>
      <w:r>
        <w:rPr>
          <w:vertAlign w:val="superscript"/>
        </w:rPr>
        <w:t>13</w:t>
      </w:r>
      <w:r>
        <w:rPr/>
        <w:t xml:space="preserve"> The primary evidence of inclusivity, here, comes from homoerotic sufi literature and, similar to Hinduism, earthly love (ishq-e-majazi), specifically the adoration of male beauty, was seen as a means of attaining spiritual transcendence (ishq-e-haqiqi). In the 17th century, sufi mystic Sarmad Kashani evidenced this when after falling in love with a Hindu boy named Abhai Chand, he compares his love for Abhai to that for Allah.</w:t>
      </w:r>
      <w:r>
        <w:rPr>
          <w:vertAlign w:val="superscript"/>
        </w:rPr>
        <w:t>14</w:t>
      </w:r>
      <w:r>
        <w:rPr/>
        <w:t xml:space="preserve"> There are similar examples documented by Scott Kugle in his work on mysticism and corporeality in sacred texts, wherein Sufi saints were even buried with their male lovers - the shrine of Shah Hussain being the </w:t>
      </w:r>
      <w:r>
        <w:rPr/>
        <w:t>best known.</w:t>
      </w:r>
      <w:r>
        <w:rPr>
          <w:vertAlign w:val="superscript"/>
        </w:rPr>
        <w:t>15</w:t>
      </w:r>
      <w:r>
        <w:rPr/>
        <w:t xml:space="preserve"> Romantic attraction between females was equally prevalent in late eighteenth and early nineteenth-century Lucknow, specifically, through the Rekhti tradition - an Urdu poetic genre in which male poets assumed female voices to address female beloveds. This is well documented by Ruth Vanita in her monograph Gender, Sex and the City (2012).</w:t>
      </w:r>
      <w:r>
        <w:rPr>
          <w:vertAlign w:val="superscript"/>
        </w:rPr>
        <w:t>16</w:t>
      </w:r>
    </w:p>
    <w:p>
      <w:pPr>
        <w:pStyle w:val="Normal"/>
        <w:spacing w:lineRule="auto" w:line="480"/>
        <w:ind w:firstLine="720"/>
        <w:rPr/>
      </w:pPr>
      <w:r>
        <w:rPr/>
        <w:t xml:space="preserve">One of the clearest instances of same-sex desire in the Mughal record is the Baburnama's description of Baburi, a boy that Babur fell in love </w:t>
      </w:r>
      <w:r>
        <w:rPr/>
        <w:t>with in Andijan around 1500, a quarter-century before he entered India.</w:t>
      </w:r>
      <w:r>
        <w:rPr>
          <w:vertAlign w:val="superscript"/>
        </w:rPr>
        <w:t>17</w:t>
      </w:r>
      <w:r>
        <w:rPr/>
        <w:t xml:space="preserve"> This specific instance highlights the lack of a need for moral superiority and an ideological moral condemnation for same-sex conduct. And this was commonly the barrier between theological condemnation and persecution: the lack of a political will for its implementation.</w:t>
      </w:r>
    </w:p>
    <w:p>
      <w:pPr>
        <w:pStyle w:val="Normal"/>
        <w:spacing w:lineRule="auto" w:line="480"/>
        <w:ind w:firstLine="720"/>
        <w:rPr/>
      </w:pPr>
      <w:r>
        <w:rPr/>
        <w:t>Under Aurangzeb, jurists compiled the Fatawa-e-Alamgiri (c. 1667-1675), a reference work of Hanafi law that qadis consulted but were not bound to follow. In the Hanafi tradition it drew on, Abu Hanifa had treated liwat as an offence for discretionary punishment (ta'zir) rather than a fixed hadd penalty, while his disciples Abu Yusuf and al-Shaybani assimilated it to zina, whose graded penalties of death, a hundred lashes and fifty lashes turned on the offender's marital and free or slave status.</w:t>
      </w:r>
      <w:r>
        <w:rPr>
          <w:vertAlign w:val="superscript"/>
        </w:rPr>
        <w:t>18</w:t>
      </w:r>
      <w:r>
        <w:rPr/>
        <w:t xml:space="preserve"> Despite the criminalisation of the act, firstly, the absence of a single fixed punishment and the discretion left to the judge distinguish it from the single universal provision that Section 377 would later impose. And, secondly, where jurists did treat the act as zina, the evidentiary burden of four adult male eyewitnesses meant that the punishment was rarely imposed other than for symbolic reasons. Therefore, as Scott Kugle has argued of these evidentiary standards, this was much more of a specific criminalisation of public nuisance rather than of private acts, given a symbolic importance due to its representation of the stricter moral code associated with Aurangzeb's reign.</w:t>
      </w:r>
      <w:r>
        <w:rPr>
          <w:vertAlign w:val="superscript"/>
        </w:rPr>
        <w:t>19</w:t>
      </w:r>
      <w:r>
        <w:rPr/>
        <w:t xml:space="preserve"> Similarly, Kautilya's Arthashastra, a treatise on statecraft whose text was recovered only in 1905, placed same-sex intercourse among the offences of its criminal-law book and assigned it a fine of the lowest grade, much less severe than </w:t>
      </w:r>
      <w:r>
        <w:rPr/>
        <w:t>the penalties for adultery.</w:t>
      </w:r>
      <w:r>
        <w:rPr>
          <w:vertAlign w:val="superscript"/>
        </w:rPr>
        <w:t>20</w:t>
      </w:r>
      <w:r>
        <w:rPr/>
        <w:t xml:space="preserve"> This, again, points to the discussion of same-sex conduct within elite policy circles as an unavoidable reality.</w:t>
      </w:r>
    </w:p>
    <w:p>
      <w:pPr>
        <w:pStyle w:val="Normal"/>
        <w:spacing w:lineRule="auto" w:line="480"/>
        <w:ind w:firstLine="720"/>
        <w:rPr/>
      </w:pPr>
      <w:r>
        <w:rPr/>
        <w:t>Education played a significant role in the reproduction of this knowledge, and it was as plural as the traditions it carried. Instruction ran through gurukuls and individual teachers, pathshalas, tols, maktabs and madrasas, as William Adam's surveys of Bengal and Bihar still recorded in the 1830s, and, as Hartmut Scharfe shows for the earlier period, it was organised around teachers and their lineages rather than a common curriculum.</w:t>
      </w:r>
      <w:r>
        <w:rPr>
          <w:vertAlign w:val="superscript"/>
        </w:rPr>
        <w:t>21</w:t>
      </w:r>
      <w:r>
        <w:rPr/>
        <w:t xml:space="preserve"> Personal beliefs, biases, religious inclinations would inevitably impact the knowledge communicated, and multiple competing scriptural traditions (Vedic, Shaiva, Vaishnava, Jain, Buddhist, and later Sufi and Mughal-Persianate) did exist during this period. And without a centralised mechanism for accountability to the state, this heterogeneity likely allowed for the perpetuation of the knowledge of same-sex conduct within the spheres of religion and politics even when there would be mechanisms restricting the acts. This is not to say that every institution entailed discussion on the subject, but rather that due to the sheer number of institutions and the lack of coherence within teaching mechanisms, there were likely a few that did.</w:t>
      </w:r>
    </w:p>
    <w:p>
      <w:pPr>
        <w:pStyle w:val="Normal"/>
        <w:spacing w:lineRule="auto" w:line="480"/>
        <w:ind w:firstLine="720"/>
        <w:rPr/>
      </w:pPr>
      <w:r>
        <w:rPr/>
        <w:t xml:space="preserve">Most importantly, what the decentralised form of education establishes is what made social reproduction of same-sex conduct possible, and correspondingly what a centralised curriculum would later be able to marginalise. The argument that follows about the Education Despatch does not rest on this inference alone. The guru-chela relation within hijra communities, which Hinchy documents is able to supplement the case in a more direct </w:t>
      </w:r>
      <w:r>
        <w:rPr/>
        <w:t>manner.</w:t>
      </w:r>
      <w:r>
        <w:rPr>
          <w:vertAlign w:val="superscript"/>
        </w:rPr>
        <w:t>22</w:t>
      </w:r>
      <w:r>
        <w:rPr/>
        <w:t xml:space="preserve"> </w:t>
      </w:r>
    </w:p>
    <w:p>
      <w:pPr>
        <w:pStyle w:val="Normal"/>
        <w:spacing w:lineRule="auto" w:line="480"/>
        <w:ind w:firstLine="720"/>
        <w:rPr/>
      </w:pPr>
      <w:r>
        <w:rPr/>
        <w:t>Eunuch officials, the khwajasaras, held elite roles within the Mughal administration: notably, Akbar's court consisted of a large number of eunuchs, and several provincial governors as well as the officer in charge of the imperial harem's treasury were eunuchs.</w:t>
      </w:r>
      <w:r>
        <w:rPr>
          <w:vertAlign w:val="superscript"/>
        </w:rPr>
        <w:t>23</w:t>
      </w:r>
      <w:r>
        <w:rPr/>
        <w:t xml:space="preserve"> This political influence led some families to castrate their sons for service at court. The khwajasaras were a category distinct from the hijras (a South Asian category for non-binary and transgender individuals), whom colonial law would later merge with them under the single term 'eunuch'. Hijra communities were organised through their own bond: though the gharana system is a more modern vernacular to describe it, its primary characteristic was the guru-chela (i.e. teacher-disciple) bond. This system was much more significant than traditional gurukuls since their identity after inculcation into the system was tied to this bond and it was largely a lifelong commitment of reverence for the guru, service to your community and learning from the guru.</w:t>
      </w:r>
    </w:p>
    <w:p>
      <w:pPr>
        <w:pStyle w:val="Normal"/>
        <w:spacing w:lineRule="auto" w:line="480"/>
        <w:ind w:firstLine="720"/>
        <w:rPr/>
      </w:pPr>
      <w:r>
        <w:rPr/>
        <w:t>What the period documents is variation rather than a settled position. Legal criminalisation, where it existed, bore the mark of political logic rather than moral superiority, and acted in a manner closer to modern political calculus. Even then, these provisions were largely symbolic and conciliatory in nature, owing to their lack of implementation. And where implementation did occur, it was confined to acts rather than to discourse, and the plurality of educational institutions carried some of this knowledge forward.</w:t>
      </w:r>
    </w:p>
    <w:p>
      <w:pPr>
        <w:pStyle w:val="Normal"/>
        <w:spacing w:lineRule="auto" w:line="480"/>
        <w:ind w:firstLine="720"/>
        <w:rPr/>
      </w:pPr>
      <w:r>
        <w:rPr/>
        <w:t xml:space="preserve">What is interesting here is that British colonial governance, in much similarity to the Mughals, incurred a political cost each time it chose regulation, especially after 1857. The reasoning was stated in Queen Victoria's Proclamation of 1 November 1858, after the 1857 revolt, which, having affirmed the Queen's reliance on "the truth of Christianity," disclaimed "alike the right and the desire to impose our convictions on any of our subjects" in matters of religious belief and </w:t>
      </w:r>
      <w:r>
        <w:rPr/>
        <w:t>worship, while promising "due regard" to the "ancient rights, usages, and customs of India" in framing the law.</w:t>
      </w:r>
      <w:r>
        <w:rPr>
          <w:vertAlign w:val="superscript"/>
        </w:rPr>
        <w:t>24</w:t>
      </w:r>
      <w:r>
        <w:rPr/>
        <w:t xml:space="preserve"> The boundary between religious customs and civil conduct, however, was blurry due to religion serving as the basis of precolonial law. The proclamation triggered what Nicholas Dirks, in Castes of Mind, calls the "anthropologisation of colonial knowledge" - replacing the Company's reformist ideology with a cautious conservatism to mitigate resistance.</w:t>
      </w:r>
      <w:r>
        <w:rPr>
          <w:vertAlign w:val="superscript"/>
        </w:rPr>
        <w:t>25</w:t>
      </w:r>
      <w:r>
        <w:rPr/>
        <w:t xml:space="preserve"> Even then, the regulation of sexuality was considered salient enough to the empire that despite this political cost, the state chose a means of regulation that reached beyond prohibition, that being its systematic removal from the record.</w:t>
      </w:r>
    </w:p>
    <w:p>
      <w:pPr>
        <w:pStyle w:val="Normal"/>
        <w:spacing w:lineRule="auto" w:line="480"/>
        <w:ind w:firstLine="720"/>
        <w:rPr/>
      </w:pPr>
      <w:r>
        <w:rPr/>
        <w:t>The second part to this moral regulation is criminal law, and its prohibition of same-sex conduct predates the code. English law reached the Crown's courts in the Presidency towns in the eighteenth century, and when Parliament replaced the Buggery Act in 1828 it passed a parallel statute for the East Indies that kept buggery a capital offence in those courts; English law itself kept the death penalty until 1861.</w:t>
      </w:r>
      <w:r>
        <w:rPr>
          <w:vertAlign w:val="superscript"/>
        </w:rPr>
        <w:t>26</w:t>
      </w:r>
      <w:r>
        <w:rPr/>
        <w:t xml:space="preserve"> The codification project that produced the IPC had its origins in the Charter Act of 1833, which established the First Law Commission under Thomas Babington Macaulay. Macaulay submitted his draft, with explanatory notes, to the Governor-General on 14 October 1837, and on reaching the anti-sodomy clauses stated plainly: "Clause 361 and 362 relate to an odious class of offences respecting which it is desirable that as little as possible should be said. ... We are unwilling to insert, either in the text, or in the notes, anything which could give rise to public discussion on this revolting subject; as we are decidedly of the opinion that the injury which would be done to the morals of the community by such discussion would far more than compensate for any benefit which might be derived from legislative measures framed with the greatest precision."</w:t>
      </w:r>
      <w:r>
        <w:rPr>
          <w:vertAlign w:val="superscript"/>
        </w:rPr>
        <w:t>27</w:t>
      </w:r>
      <w:r>
        <w:rPr/>
        <w:t xml:space="preserve"> Macaulay's original formulation - Clause 361 - had criminalised any touching "intending to gratify unnatural lust," </w:t>
      </w:r>
      <w:r>
        <w:rPr/>
        <w:t>including touching by consent, with a mandatory minimum of two years' imprisonment and a maximum of fourteen, while Clause 362 punished non-consensual touching more heavily, with a minimum of seven years and a maximum of life.</w:t>
      </w:r>
      <w:r>
        <w:rPr>
          <w:vertAlign w:val="superscript"/>
        </w:rPr>
        <w:t>28</w:t>
      </w:r>
    </w:p>
    <w:p>
      <w:pPr>
        <w:pStyle w:val="Normal"/>
        <w:spacing w:lineRule="auto" w:line="480"/>
        <w:ind w:firstLine="720"/>
        <w:rPr/>
      </w:pPr>
      <w:r>
        <w:rPr/>
        <w:t>The Law Commissioners C.H. Cameron and D. Eliott, reviewing the draft in reports of 1846 and 1847, found it sufficiently complete to be enacted with slight modifications; a revised edition went to the judges of the Supreme Court and the Sudder Court at Calcutta in 1851, and the text was revised again before the Legislative Council, the final version of the section reaching it through Sir Barnes Peacock's committee.</w:t>
      </w:r>
      <w:r>
        <w:rPr>
          <w:vertAlign w:val="superscript"/>
        </w:rPr>
        <w:t>29</w:t>
      </w:r>
      <w:r>
        <w:rPr/>
        <w:t xml:space="preserve"> Somewhere in that revision, which published accounts have not located, the clauses lost both the offence of touching and the distinction on the basis of consent, and emerged as the provision enacted in 1860 as Section 377: "Whoever voluntarily has carnal intercourse against the order of nature with any man, woman or animal shall be punished with transportation for life, or with imprisonment of either description for a term which may extend to ten years, and shall also be liable to fine."</w:t>
      </w:r>
      <w:r>
        <w:rPr>
          <w:vertAlign w:val="superscript"/>
        </w:rPr>
        <w:t>30</w:t>
      </w:r>
      <w:r>
        <w:rPr/>
        <w:t xml:space="preserve"> The section still required that the act be voluntary, so it did not impose strict liability; but by removing the distinction on the basis of consent it placed consensual and coerced acts under a single provision and a single penalty, a change that, according to Alok Gupta in his paper, "Section 377 and the Dignity of Indian Homosexuals," was made to prevent debate.</w:t>
      </w:r>
      <w:r>
        <w:rPr>
          <w:vertAlign w:val="superscript"/>
        </w:rPr>
        <w:t>31</w:t>
      </w:r>
      <w:r>
        <w:rPr/>
        <w:t xml:space="preserve"> Its operative phrase came not from the Buggery Act of </w:t>
      </w:r>
      <w:r>
        <w:rPr/>
        <w:t>1533, which never defined the offence, but from Sir Edward Coke's definition of buggery as carnal knowledge "against the ordinance of the Creator, and order of nature."</w:t>
      </w:r>
      <w:r>
        <w:rPr>
          <w:vertAlign w:val="superscript"/>
        </w:rPr>
        <w:t>32</w:t>
      </w:r>
    </w:p>
    <w:p>
      <w:pPr>
        <w:pStyle w:val="Normal"/>
        <w:spacing w:lineRule="auto" w:line="480"/>
        <w:ind w:firstLine="720"/>
        <w:rPr/>
      </w:pPr>
      <w:r>
        <w:rPr/>
        <w:t>The Buggery Act of 1533 relocated the enforcement of an existing ecclesiastical position: sodomy had long been a sin persecuted by church courts; the Tudor statute moved that jurisdiction into the Crown's own courts, converting a canon prohibition into a secular felony punishable by death.</w:t>
      </w:r>
      <w:r>
        <w:rPr>
          <w:vertAlign w:val="superscript"/>
        </w:rPr>
        <w:t>33</w:t>
      </w:r>
      <w:r>
        <w:rPr/>
        <w:t xml:space="preserve"> Making its way into civil law, the provision would come to prove far more durable and far more exportable than if it had remained in canon hands. Whoever settled its final wording, the colonial legislators were, as Alok Gupta has documented, "introducing such laws, with no debates or cultural consultations, to support colonial control."</w:t>
      </w:r>
      <w:r>
        <w:rPr>
          <w:vertAlign w:val="superscript"/>
        </w:rPr>
        <w:t>34</w:t>
      </w:r>
    </w:p>
    <w:p>
      <w:pPr>
        <w:pStyle w:val="Normal"/>
        <w:spacing w:lineRule="auto" w:line="480"/>
        <w:ind w:firstLine="720"/>
        <w:rPr/>
      </w:pPr>
      <w:r>
        <w:rPr/>
        <w:t>Section 377 was followed by the Criminal Tribes Act 1871 (Act No. 27 of 1871). As Jessica Hinchy has documented, Part II of the Act, enforced in the North-Western Provinces, extended the reach of colonial sexual law from the act itself to the criminalisation of the existence of groups held to have a higher propensity for same-sex conduct.</w:t>
      </w:r>
      <w:r>
        <w:rPr>
          <w:vertAlign w:val="superscript"/>
        </w:rPr>
        <w:t>35</w:t>
      </w:r>
      <w:r>
        <w:rPr/>
        <w:t xml:space="preserve"> Part II mandated the compilation of police registers of all "eunuchs" (a colonial catchall term applied to hijras and other gender non-conforming communities) who were "reasonably suspected" of kidnapping or castrating children or of committing offences under Section 377, and prohibited registered eunuchs from appearing "dressed or ornamented like a woman" in public places on pain of up to two years' imprisonment.</w:t>
      </w:r>
      <w:r>
        <w:rPr>
          <w:vertAlign w:val="superscript"/>
        </w:rPr>
        <w:t>36</w:t>
      </w:r>
      <w:r>
        <w:rPr/>
        <w:t xml:space="preserve"> The surveillance aimed "to prevent an increase in the number of Eunuchs, and thus gradually lead to their extinction" as stated by the Lieutenant-Governor of the North-Western Provinces when addressing the Inspector-General of Police in 1865.</w:t>
      </w:r>
      <w:r>
        <w:rPr>
          <w:vertAlign w:val="superscript"/>
        </w:rPr>
        <w:t>37</w:t>
      </w:r>
      <w:r>
        <w:rPr/>
        <w:t xml:space="preserve"> Part II remained in force until 1911, when it was repealed.</w:t>
      </w:r>
      <w:r>
        <w:rPr>
          <w:vertAlign w:val="superscript"/>
        </w:rPr>
        <w:t>38</w:t>
      </w:r>
    </w:p>
    <w:p>
      <w:pPr>
        <w:pStyle w:val="Normal"/>
        <w:spacing w:lineRule="auto" w:line="480"/>
        <w:ind w:firstLine="720"/>
        <w:rPr/>
      </w:pPr>
      <w:r>
        <w:rPr/>
        <w:t>The first major case pertaining to Section 377 is that of Queen-Empress v. Khairati (1884), confirming how far surveillance under the 1871 Act reached. Khairati, a hijra, was convicted at trial on the basis of physical examination, with the trial judge describing "the characteristic mark of a habitual catamite - the distortion of the orifice of the anus into the shape of a trumpet" as sufficient evidence of the offence, a conviction the High Court set aside for want of evidence of any specific act.</w:t>
      </w:r>
      <w:r>
        <w:rPr>
          <w:vertAlign w:val="superscript"/>
        </w:rPr>
        <w:t>39</w:t>
      </w:r>
      <w:r>
        <w:rPr/>
        <w:t xml:space="preserve"> The law policed every domain of personal life including even individual bodies.</w:t>
      </w:r>
    </w:p>
    <w:p>
      <w:pPr>
        <w:pStyle w:val="Heading2"/>
        <w:spacing w:before="280" w:after="160"/>
        <w:rPr/>
      </w:pPr>
      <w:r>
        <w:rPr/>
        <w:t>Existing scholarship</w:t>
      </w:r>
    </w:p>
    <w:p>
      <w:pPr>
        <w:pStyle w:val="Normal"/>
        <w:spacing w:lineRule="auto" w:line="480"/>
        <w:rPr/>
      </w:pPr>
      <w:r>
        <w:rPr/>
        <w:t>The rationality behind the regulation is better addressed in Ann Laura Stoler's Carnal Knowledge and Imperial Power (2002). Stoler shows how racial boundaries, social stratification, and the establishment of imperial authority all rested on selective control over intimacy.</w:t>
      </w:r>
      <w:r>
        <w:rPr>
          <w:vertAlign w:val="superscript"/>
        </w:rPr>
        <w:t>40</w:t>
      </w:r>
      <w:r>
        <w:rPr/>
        <w:t xml:space="preserve"> Similarly, in her Sexual States (2016), Jyoti Puri shows how the projection of a specifically Victorian sexual order onto Indian subjects through Section 377 produced the moral differential - between civilised administrator and deviant native - on which colonial authority rested.</w:t>
      </w:r>
      <w:r>
        <w:rPr>
          <w:vertAlign w:val="superscript"/>
        </w:rPr>
        <w:t>41</w:t>
      </w:r>
      <w:r>
        <w:rPr/>
        <w:t xml:space="preserve"> Practically, this meant that despite promising non-interference in religious life through the 1858 Proclamation, the state could still impose criminal liability for same-sex conduct without apparent contradiction, on the grounds that "order of nature" was a universal moral category.</w:t>
      </w:r>
    </w:p>
    <w:p>
      <w:pPr>
        <w:pStyle w:val="Normal"/>
        <w:spacing w:lineRule="auto" w:line="480"/>
        <w:ind w:firstLine="720"/>
        <w:rPr/>
      </w:pPr>
      <w:r>
        <w:rPr/>
        <w:t>In his Because I Have a Voice, Arvind Narrain documents the silence Section 377 produced after independence as the most telling evidence of its success.</w:t>
      </w:r>
      <w:r>
        <w:rPr>
          <w:vertAlign w:val="superscript"/>
        </w:rPr>
        <w:t>42</w:t>
      </w:r>
      <w:r>
        <w:rPr/>
        <w:t xml:space="preserve"> India inherited the IPC wholesale under Article 372 of the Constitution, which continued all existing law, and the Constituent Assembly debated almost none of the code's individual sections; its silence on Section 377 is therefore not, by itself, evidence of consensus.</w:t>
      </w:r>
      <w:r>
        <w:rPr>
          <w:vertAlign w:val="superscript"/>
        </w:rPr>
        <w:t>43</w:t>
      </w:r>
      <w:r>
        <w:rPr/>
        <w:t xml:space="preserve"> The clearer evidence is later. When the Law Commission of India reviewed the Penal Code in 1971, its Forty-Second Report held that Indian society disapproved of homosexuality strongly enough to justify treating it as a criminal offence even between adults in private, and recommended keeping the offence; only in its 172nd Report, of 2000, did the Commission recommend deletion.</w:t>
      </w:r>
      <w:r>
        <w:rPr>
          <w:vertAlign w:val="superscript"/>
        </w:rPr>
        <w:t>44</w:t>
      </w:r>
      <w:r>
        <w:rPr/>
        <w:t xml:space="preserve"> By then the moral consensus Section 377 had been intended to construct was sufficiently embedded that an Indian law commission could restate it as Indian. It remained in force for a further seventy-one years after independence, read down not by Parliament but by a Supreme Court bench in Navtej Singh Johar v. Union of India (2018), which held it unconstitutional insofar as it criminalised consensual conduct between adults and described it as "irrational, indefensible and manifestly arbitrary," while leaving the remainder of the provision intact.</w:t>
      </w:r>
      <w:r>
        <w:rPr>
          <w:vertAlign w:val="superscript"/>
        </w:rPr>
        <w:t>45</w:t>
      </w:r>
    </w:p>
    <w:p>
      <w:pPr>
        <w:pStyle w:val="Normal"/>
        <w:spacing w:lineRule="auto" w:line="480"/>
        <w:ind w:firstLine="720"/>
        <w:rPr/>
      </w:pPr>
      <w:r>
        <w:rPr/>
        <w:t>What this review collectively leaves open is the specific decision logic by which same-sex conduct was given a single, uniform criminal prohibition rather than left to divided jurisdictions, personal law or administration. The precolonial archive has been recovered and documented; and the relationship between colonial power and sexual regulation theorised. Enze Han and Joseph O'Mahoney have shown that the later spread of such provisions across the empire followed the code templates colonies received, which makes a transplanted template the obvious rival explanation; but in India the template was being written, and, as Barry Wright's account of the code's originating principles shows, its drafters departed from English law where they chose to.</w:t>
      </w:r>
      <w:r>
        <w:rPr>
          <w:vertAlign w:val="superscript"/>
        </w:rPr>
        <w:t>46</w:t>
      </w:r>
      <w:r>
        <w:rPr/>
        <w:t xml:space="preserve"> Elizabeth Kolsky has shown, too, that the code's uniform offences coexisted with procedural privileges for European British subjects, a qualification that applies to every claim below about the code's universality.</w:t>
      </w:r>
      <w:r>
        <w:rPr>
          <w:vertAlign w:val="superscript"/>
        </w:rPr>
        <w:t>47</w:t>
      </w:r>
      <w:r>
        <w:rPr/>
        <w:t xml:space="preserve"> The absence, however, is the calculus through which sexuality arrived where it did - in uniform criminal law, embedded so deeply in the moral architecture of Indian society that the populations who lived under it could not, even at independence, recognise it as foreign. The framework developed below supplies that account.</w:t>
      </w:r>
    </w:p>
    <w:p>
      <w:pPr>
        <w:pStyle w:val="Heading1"/>
        <w:spacing w:before="360" w:after="200"/>
        <w:rPr/>
      </w:pPr>
      <w:r>
        <w:rPr/>
        <w:t>How Colonial Governance Categorised Conduct</w:t>
      </w:r>
    </w:p>
    <w:p>
      <w:pPr>
        <w:pStyle w:val="Normal"/>
        <w:spacing w:lineRule="auto" w:line="480"/>
        <w:rPr/>
      </w:pPr>
      <w:r>
        <w:rPr/>
        <w:t>In seeking to understand why British colonial governance in India gave same-sex conduct a universal criminal prohibition - rather than administrative or community-specific regulation - this paper proposes a three-factor framework defining the rationale behind colonial decision-making. The three factors are:</w:t>
      </w:r>
    </w:p>
    <w:p>
      <w:pPr>
        <w:pStyle w:val="ListParagraph"/>
        <w:numPr>
          <w:ilvl w:val="0"/>
          <w:numId w:val="3"/>
        </w:numPr>
        <w:spacing w:lineRule="auto" w:line="480" w:before="0" w:after="60"/>
        <w:rPr/>
      </w:pPr>
      <w:r>
        <w:rPr/>
        <w:t>criticality, or how central intervening in a conduct was to the coherence and legitimacy of the colonial project;</w:t>
      </w:r>
    </w:p>
    <w:p>
      <w:pPr>
        <w:pStyle w:val="ListParagraph"/>
        <w:numPr>
          <w:ilvl w:val="0"/>
          <w:numId w:val="1"/>
        </w:numPr>
        <w:spacing w:lineRule="auto" w:line="480" w:before="0" w:after="60"/>
        <w:rPr/>
      </w:pPr>
      <w:r>
        <w:rPr/>
        <w:t>delta and diffuseness, or how large the gap was between existing conduct and the desired state, and whether the conduct was perceived as bounded within an identifiable community or capable of spreading through ordinary social life; and</w:t>
      </w:r>
    </w:p>
    <w:p>
      <w:pPr>
        <w:pStyle w:val="ListParagraph"/>
        <w:numPr>
          <w:ilvl w:val="0"/>
          <w:numId w:val="1"/>
        </w:numPr>
        <w:spacing w:lineRule="auto" w:line="480" w:before="0" w:after="60"/>
        <w:rPr/>
      </w:pPr>
      <w:r>
        <w:rPr/>
        <w:t>attitude distribution, or whether disapproval of the conduct was already widespread enough to make criminal prohibition politically viable, or whether the colonial state was constructing a moral consensus that had no prior existence in the governed society.</w:t>
      </w:r>
    </w:p>
    <w:p>
      <w:pPr>
        <w:pStyle w:val="Normal"/>
        <w:spacing w:lineRule="auto" w:line="480"/>
        <w:rPr/>
      </w:pPr>
      <w:r>
        <w:rPr/>
        <w:t>Three clarifications about the status of this framework are necessary before it is developed, because each bears on what the argument of this paper can and cannot claim.</w:t>
      </w:r>
    </w:p>
    <w:p>
      <w:pPr>
        <w:pStyle w:val="Normal"/>
        <w:spacing w:lineRule="auto" w:line="480"/>
        <w:ind w:firstLine="720"/>
        <w:rPr/>
      </w:pPr>
      <w:r>
        <w:rPr/>
        <w:t>The first concerns provenance. These three factors are drawn from established political theories on moral regulation, compiled into a decision-making framework and the validity of that framework within British India is established by testing it against actual decisions taken by the empire.</w:t>
      </w:r>
    </w:p>
    <w:p>
      <w:pPr>
        <w:pStyle w:val="Normal"/>
        <w:spacing w:lineRule="auto" w:line="480"/>
        <w:ind w:firstLine="720"/>
        <w:rPr/>
      </w:pPr>
      <w:r>
        <w:rPr/>
        <w:t>The second concerns the derivation set. The framework is developed below from four conducts: thuggee, sati, female infanticide and child marriage. Same-sex conduct, which is the core of this paper, is deliberately excluded from that derivation. It is taken up later, where the framework, once established against British India, is tested against it. The same reasoning quarantines Part II of the Criminal Tribes Act 1871. Only Part I, which addressed communities designated criminal by descent, is considered here. Part II addressed eunuchs, and is therefore too closely tied to same-sex regulation to be used in building the framework it will later be used to test.</w:t>
      </w:r>
    </w:p>
    <w:p>
      <w:pPr>
        <w:pStyle w:val="Normal"/>
        <w:spacing w:lineRule="auto" w:line="480"/>
        <w:ind w:firstLine="720"/>
        <w:rPr/>
      </w:pPr>
      <w:r>
        <w:rPr/>
        <w:t xml:space="preserve">The third concerns the method. A framework of this kind invites the objection that its gradations are impressionistic - that to call one delta "large" and another "moderate" is to report a judgment. To mitigate this shortcoming each judgement is assessed against a documentary indicator, which a reader can check against the sources independently of any estimate on the author's part. The outcome these indicators explain has two dimensions: whether the state used criminal law or administrative regulation, and whether the resulting provision named a community or bound the general population. Criticality is assessed by the register of justification administrators used in the dispatches and the framing of the laws and it is the state's own account of what it took to be at stake; where the record contains no such account, the absence is reported rather than filled from later material. The delta is assessed as the distance between the legal order a provision displaced - the law the courts were actually applying when it was enacted - and the provision itself, measured separately for the severity of the penalty and the breadth of the population it bound. Diffuseness is assessed by how officials described the conduct's spread before the instrument was chosen: as confined to identifiable families, castes or gangs, or as a susceptibility any person might share. It is not assessed by the scope of the resulting statute, which is the outcome to be explained. Attitude distribution is assessed by the presence or absence of a documented Indian constituency advocating prohibition prior to enactment, among the elites whose support, as shown below, the state treated as the measure of political viability. Because the code as a whole was drafted with almost no Indian consultation, that absence is diagnostic only where the drafters can be shown to have weighed Indian conditions for comparable conduct and declined to do so for the conduct in question. </w:t>
      </w:r>
    </w:p>
    <w:p>
      <w:pPr>
        <w:pStyle w:val="Heading2"/>
        <w:spacing w:before="280" w:after="160"/>
        <w:rPr/>
      </w:pPr>
      <w:r>
        <w:rPr/>
        <w:t>Criticality</w:t>
      </w:r>
    </w:p>
    <w:p>
      <w:pPr>
        <w:pStyle w:val="Normal"/>
        <w:spacing w:lineRule="auto" w:line="480"/>
        <w:rPr/>
      </w:pPr>
      <w:r>
        <w:rPr/>
        <w:t>Foucault writes in The History of Sexuality that biopolitics theorised the extent to which states regulated population conduct. He mentions that states intervene in intimate spheres when those spheres are perceived as critical to regulating the population as an asset of power.</w:t>
      </w:r>
      <w:r>
        <w:rPr>
          <w:vertAlign w:val="superscript"/>
        </w:rPr>
        <w:t>48</w:t>
      </w:r>
      <w:r>
        <w:rPr/>
        <w:t xml:space="preserve"> A version of this calculation was set out by Macaulay in his address to the House of Commons on the India Bill on 10 July 1833: "It would be, on the most selfish view of the case, far better for us that the people of India were well governed and independent of us, than ill governed and subject to us." The phrase "on the most selfish view of the case" marks a concession rather than his own account: Macaulay was arguing that good government would serve British commerce even on the narrowest reckoning, before closing on an empire of "our arts and our morals, our literature and our laws" that he expected to outlast political rule.</w:t>
      </w:r>
      <w:r>
        <w:rPr>
          <w:vertAlign w:val="superscript"/>
        </w:rPr>
        <w:t>49</w:t>
      </w:r>
      <w:r>
        <w:rPr/>
        <w:t xml:space="preserve"> Commercial interest and moral authority were, in his account, two registers of one project. Any conduct threatening that project was critical; other conducts were manageable through ordinary discretion.</w:t>
      </w:r>
    </w:p>
    <w:p>
      <w:pPr>
        <w:pStyle w:val="Normal"/>
        <w:spacing w:lineRule="auto" w:line="480"/>
        <w:ind w:firstLine="720"/>
        <w:rPr/>
      </w:pPr>
      <w:r>
        <w:rPr/>
        <w:t>Criticality was not, however, a single quantity. Three registers of justification recur in the record, and they governed both the intensity of regulation and the order of intimacy on which it operated: economic order, social order, and moral authority.</w:t>
      </w:r>
    </w:p>
    <w:p>
      <w:pPr>
        <w:pStyle w:val="Normal"/>
        <w:spacing w:lineRule="auto" w:line="480"/>
        <w:ind w:firstLine="720"/>
        <w:rPr/>
      </w:pPr>
      <w:r>
        <w:rPr/>
        <w:t>The most direct register was, of course, fiscal: any conduct disrupting the revenue and trade on which the Company depended was critical to it.</w:t>
      </w:r>
    </w:p>
    <w:p>
      <w:pPr>
        <w:pStyle w:val="Normal"/>
        <w:spacing w:lineRule="auto" w:line="480"/>
        <w:ind w:firstLine="720"/>
        <w:rPr/>
      </w:pPr>
      <w:r>
        <w:rPr/>
        <w:t>Thuggee is one example of such conduct: criminal gangs ('thugs') were a prominent hindrance to trade in the early to mid-nineteenth century, ritualising robbery and murder across north Indian trade routes. Official correspondence of the period described these groups as enemies of commercial confidence itself, locating the harm not in the killing but in its effect on the conditions of exchange.</w:t>
      </w:r>
      <w:r>
        <w:rPr>
          <w:vertAlign w:val="superscript"/>
        </w:rPr>
        <w:t>50</w:t>
      </w:r>
      <w:r>
        <w:rPr/>
        <w:t xml:space="preserve"> The imperative need for regulation, however, did not surface until 1830 when the British empire apprehended Feringhea, a notorious thug leader, operating under an alias; it was only after he turned a 'King's informant' and dug up a grave of freshly strangled bodies of an entire caravan outside Jabalpur that the scale of their operations and the immediacy of danger became apparent to the British.</w:t>
      </w:r>
      <w:r>
        <w:rPr>
          <w:vertAlign w:val="superscript"/>
        </w:rPr>
        <w:t>51</w:t>
      </w:r>
      <w:r>
        <w:rPr/>
        <w:t xml:space="preserve"> From this were born the Thuggee Acts of 1836 to 1848, creating community-specific criminal liability administered via informant networks - community specific due to the perception that these acts were bounded to certain markedly distinct groups. In fact, the economic basis of this regulation is reflected in the administrative literature that accompanied it, which measured the offence by its obstruction of the transit of bullion and specie rather than by the loss of life it caused.</w:t>
      </w:r>
      <w:r>
        <w:rPr>
          <w:vertAlign w:val="superscript"/>
        </w:rPr>
        <w:t>52</w:t>
      </w:r>
    </w:p>
    <w:p>
      <w:pPr>
        <w:pStyle w:val="Normal"/>
        <w:spacing w:lineRule="auto" w:line="480"/>
        <w:ind w:firstLine="720"/>
        <w:rPr/>
      </w:pPr>
      <w:r>
        <w:rPr/>
        <w:t>The second register was social order - though it only becomes majorly significant after the Rebellion of 1857, its roots are evident long before. Lord Hastings, Governor-General until 1823, explained his inaction on sati in a private letter of 21 November 1823, later quoted by Bentinck: "I was aware how much danger might attend the endeavouring to suppress forcibly a practice so rooted in the religious belief of the natives... the whole of [the Bengal Army] must be regarded as blindly partial to [sati]. To attempt the extinction of the horrid superstition without being supported in the procedure by a real concurrence on the part of the army would be distinctly perilous."</w:t>
      </w:r>
      <w:r>
        <w:rPr/>
        <w:t xml:space="preserve"> He added that he believed he could have carried the army with him, and Bentinck quoted the letter as evidence that Hastings would have suppressed the practice had he remained in India.</w:t>
      </w:r>
      <w:r>
        <w:rPr>
          <w:vertAlign w:val="superscript"/>
        </w:rPr>
        <w:t>53</w:t>
      </w:r>
      <w:r>
        <w:rPr/>
        <w:t xml:space="preserve"> The preservation of the social order was a primary concern, ultimately to safeguard British politico-economic interests.</w:t>
      </w:r>
    </w:p>
    <w:p>
      <w:pPr>
        <w:pStyle w:val="Normal"/>
        <w:spacing w:lineRule="auto" w:line="480"/>
        <w:ind w:firstLine="720"/>
        <w:rPr/>
      </w:pPr>
      <w:r>
        <w:rPr/>
        <w:t>It was only after 1857, however, that this became a governing constraint rather than just a consideration. Among the immediate lessons drawn from the revolt of 1857 was that the Legislative Council of 1853 had acted without consultation with Indian opinion, and that a lack of communication with that opinion had helped precipitate the crisis. Thomas Metcalf documents in The Aftermath of Revolt the ensuing political sensitivity: the state became acutely conscious of the political cost of any intervention capable of unifying the governed population, and prioritised order over reform accordingly.</w:t>
      </w:r>
      <w:r>
        <w:rPr>
          <w:vertAlign w:val="superscript"/>
        </w:rPr>
        <w:t>54</w:t>
      </w:r>
      <w:r>
        <w:rPr/>
        <w:t xml:space="preserve"> Queen Victoria's Proclamation of 1 November 1858 was the formal expression of this shift.</w:t>
      </w:r>
    </w:p>
    <w:p>
      <w:pPr>
        <w:pStyle w:val="Normal"/>
        <w:spacing w:lineRule="auto" w:line="480"/>
        <w:ind w:firstLine="720"/>
        <w:rPr/>
      </w:pPr>
      <w:r>
        <w:rPr/>
        <w:t>The Proclamation, however, contained a structural exception: it limited intervention only where that intervention touched religious belief and worship, and it did not treat a general criminal code as such an intervention, its promise of regard for custom notwithstanding. This exception mattered because, as Singha's A Despotism of Law establishes, the colonial state was simultaneously pursuing a monopoly over lawmaking.</w:t>
      </w:r>
      <w:r>
        <w:rPr>
          <w:vertAlign w:val="superscript"/>
        </w:rPr>
        <w:t>55</w:t>
      </w:r>
      <w:r>
        <w:rPr/>
        <w:t xml:space="preserve"> Thus, as Nicholas Dirks supplies, the state viewed the suppression of any unmonitored 'fluid' conduct and the classification of the subjects into distinct social groups as necessary to eliminate the competing religious and communal structures described earlier - anything that would challenge the exclusive sovereignty of the British.</w:t>
      </w:r>
      <w:r>
        <w:rPr>
          <w:vertAlign w:val="superscript"/>
        </w:rPr>
        <w:t>56</w:t>
      </w:r>
      <w:r>
        <w:rPr/>
        <w:t xml:space="preserve"> The exception was retained, partly, to enable this monopoly. In fact, the Indian Penal Code of 1860 and the Code of Criminal Procedure of 1861 displaced the Islamic criminal law the Company's courts had administered, without this being registered as interference in the religious lives of Muslims.</w:t>
      </w:r>
      <w:r>
        <w:rPr>
          <w:vertAlign w:val="superscript"/>
        </w:rPr>
        <w:t>57</w:t>
      </w:r>
      <w:r>
        <w:rPr/>
        <w:t xml:space="preserve"> Section 377 entered law inside that same displacement rather than after it; whether the same logic governed its enactment is a question taken up below.</w:t>
      </w:r>
    </w:p>
    <w:p>
      <w:pPr>
        <w:pStyle w:val="Normal"/>
        <w:spacing w:lineRule="auto" w:line="480"/>
        <w:ind w:firstLine="720"/>
        <w:rPr/>
      </w:pPr>
      <w:r>
        <w:rPr/>
        <w:t>The third register concerned the demonstration of British moral superiority. The British Raj was the very representation of John Stuart Mill's benevolent despotism, establishing colonial rule as a moral duty to liberate an inferior race rather than as mere legitimate authority.</w:t>
      </w:r>
      <w:r>
        <w:rPr>
          <w:vertAlign w:val="superscript"/>
        </w:rPr>
        <w:t>58</w:t>
      </w:r>
      <w:r>
        <w:rPr/>
        <w:t xml:space="preserve"> Sati was criminalised not because it was the most prevalent harm to Indian women - between 500 and 600 cases annually in Bengal, against a population of millions - but because it could be, as Tschurenev suggests, "used to justify the colonial civilising mission without provoking mass public unrest."</w:t>
      </w:r>
      <w:r>
        <w:rPr>
          <w:vertAlign w:val="superscript"/>
        </w:rPr>
        <w:t>59</w:t>
      </w:r>
      <w:r>
        <w:rPr/>
        <w:t xml:space="preserve"> Bentinck's minute of November 1829 justified the prohibition as an act to "wash out a foul stain upon British rule," a formulation Madhu Kishwar has read as evidence that the British were "targeting a few cases of young widows in Bengal who were forcibly burnt on their husbands' pyres... so they could appear as agents of superior civilisation."</w:t>
      </w:r>
      <w:r>
        <w:rPr>
          <w:vertAlign w:val="superscript"/>
        </w:rPr>
        <w:t>60</w:t>
      </w:r>
      <w:r>
        <w:rPr/>
        <w:t xml:space="preserve"> What made sati especially useful for this purpose was its public nature and its image as proof of native barbarism requiring colonial correction, in the British press.</w:t>
      </w:r>
    </w:p>
    <w:p>
      <w:pPr>
        <w:pStyle w:val="Normal"/>
        <w:spacing w:lineRule="auto" w:line="480"/>
        <w:ind w:firstLine="720"/>
        <w:rPr/>
      </w:pPr>
      <w:r>
        <w:rPr/>
        <w:t xml:space="preserve">Female infanticide, on the other hand, had been made murder by Bengal Regulations of 1795 and 1804, yet attracted no comparable public intervention despite its greater prevalence, owing simply to its place in the private sphere - where it was invisible to the public and the press. Additionally, the Rajput communities primarily practicing it were militarily sensitive: formerly prized soldiers, many had come under suspicion of participating in the 1857 Rebellion, and the colonial state could not afford the political cost of a confrontational crackdown. The result was the Female Infanticide Prevention Act 1870 - targeted surveillance rather than an IPC provision. Infanticide did feature in the civilising narrative, as John Cave-Browne's Indian Infanticide (1857) shows, but it offered a smaller return of moral </w:t>
      </w:r>
      <w:r>
        <w:rPr/>
        <w:t>authority than sati because its suppression could not be staged in public.</w:t>
      </w:r>
      <w:r>
        <w:rPr>
          <w:vertAlign w:val="superscript"/>
        </w:rPr>
        <w:t>61</w:t>
      </w:r>
    </w:p>
    <w:p>
      <w:pPr>
        <w:pStyle w:val="Heading2"/>
        <w:spacing w:before="280" w:after="160"/>
        <w:rPr/>
      </w:pPr>
      <w:r>
        <w:rPr/>
        <w:t>Delta and Diffuseness</w:t>
      </w:r>
    </w:p>
    <w:p>
      <w:pPr>
        <w:pStyle w:val="Normal"/>
        <w:spacing w:lineRule="auto" w:line="480"/>
        <w:rPr/>
      </w:pPr>
      <w:r>
        <w:rPr/>
        <w:t>Even where a conduct was critical enough to warrant intervention, the form of that intervention rested on two further considerations: the size of the gap between existing conduct and the desired state, and whether the conduct was perceived as bounded within an identifiable community or capable of spreading across the general population through social exposure or institutional transmission.</w:t>
      </w:r>
    </w:p>
    <w:p>
      <w:pPr>
        <w:pStyle w:val="Normal"/>
        <w:spacing w:lineRule="auto" w:line="480"/>
        <w:ind w:firstLine="720"/>
        <w:rPr/>
      </w:pPr>
      <w:r>
        <w:rPr/>
        <w:t xml:space="preserve">Alan Hunt in his Governing Morals details exactly these, labelling them "contagion" and "diffuseness": bounded deviations being left to local administrations, while conducts perceived as diffuse were routed into universal criminal law to contain moral panic. A conduct is diffuse, in the sense used here, when officials described it, before choosing an instrument, as capable of spreading beyond any identifiable community. The test is the state's own description of the conduct rather than any estimate of actual </w:t>
      </w:r>
      <w:r>
        <w:rPr/>
        <w:t>prevalence, and it is kept separate from the scope of the statute that followed, which is what the factor is meant to explain.</w:t>
      </w:r>
      <w:r>
        <w:rPr>
          <w:vertAlign w:val="superscript"/>
        </w:rPr>
        <w:t>62</w:t>
      </w:r>
      <w:r>
        <w:rPr/>
        <w:t xml:space="preserve"> Notably, the moral panic in the case of the British Raj was not one prevalent within the population but rather the administration; therefore Section 377 would not be the genesis but rather the last step to the suppression of sexual and gender plurality in India. Severity and scope are separable properties of a prohibition, and it is, primarily, the scope that the colonial instrument altered.</w:t>
      </w:r>
    </w:p>
    <w:p>
      <w:pPr>
        <w:pStyle w:val="Normal"/>
        <w:spacing w:lineRule="auto" w:line="480"/>
        <w:ind w:firstLine="720"/>
        <w:rPr/>
      </w:pPr>
      <w:r>
        <w:rPr/>
        <w:t>Thuggee and child marriage sit at opposite ends of this axis, and in each case the officials' description of the conduct preceded and matched the scope of the statute that followed. Thuggee was described as the hereditary profession of identifiable gangs and families, and Act XXX of 1836 accordingly required proof that the accused belonged to a gang of Thugs: the provision names a category of person, and the problem is thereby constituted as suppressible by identifying and registering particular families.</w:t>
      </w:r>
      <w:r>
        <w:rPr>
          <w:vertAlign w:val="superscript"/>
        </w:rPr>
        <w:t>63</w:t>
      </w:r>
      <w:r>
        <w:rPr/>
        <w:t xml:space="preserve"> Child marriage was understood as embedded across Hindu and Muslim communities alike, within domestic arrangements that no register could reach, and the Age of Consent Act 1891, which raised the age of consent from ten to twelve without prohibiting child marriage itself (restrained only by the Sarda Act of 1929), accordingly amended Section 375 of the Penal Code, creating a provision of general application.</w:t>
      </w:r>
      <w:r>
        <w:rPr>
          <w:vertAlign w:val="superscript"/>
        </w:rPr>
        <w:t>64</w:t>
      </w:r>
    </w:p>
    <w:p>
      <w:pPr>
        <w:pStyle w:val="Normal"/>
        <w:spacing w:lineRule="auto" w:line="480"/>
        <w:ind w:firstLine="720"/>
        <w:rPr/>
      </w:pPr>
      <w:r>
        <w:rPr/>
        <w:t>Within the category of diffuse conduct, a further distinction governed the intensity of intervention: whether a conduct was reproduced through institutions. Educational and social structures were the vehicles of moral formation, and a conduct transmitted through them could not be extinguished in a single generation by prohibition alone. The goal was to gain control over the institutions through which diffusion occurred, and so over this moral formation. The shift of educational prestige from decentralised indigenous schooling toward a government-sponsored English curriculum, announced in Macaulay's Minute of 1835 and extended by the Education Despatch of 1854, provides the best instance of this phenomenon. The Minute's stated aim was to create "a class of persons, Indian in blood and colour, but English in taste, in opinions, in morals, and in intellect," achievable only through control of what was taught.</w:t>
      </w:r>
      <w:r>
        <w:rPr>
          <w:vertAlign w:val="superscript"/>
        </w:rPr>
        <w:t>65</w:t>
      </w:r>
    </w:p>
    <w:p>
      <w:pPr>
        <w:pStyle w:val="Heading2"/>
        <w:spacing w:before="280" w:after="160"/>
        <w:rPr/>
      </w:pPr>
      <w:r>
        <w:rPr/>
        <w:t>The Existing Distribution of Public Attitudes</w:t>
      </w:r>
    </w:p>
    <w:p>
      <w:pPr>
        <w:pStyle w:val="Normal"/>
        <w:spacing w:lineRule="auto" w:line="480"/>
        <w:rPr/>
      </w:pPr>
      <w:r>
        <w:rPr/>
        <w:t>The third factor was what determined the political character of the intervention - whether the law was acting as the expression of a pre-existing moral consensus, the resolution of a divided one, or the installation of a consensus with no prior existence amongst the population. E.P. Thompson highlights a similar logic of 'moral hegemony' in Whigs and Hunters in discussing the origins of the Black Act in Britain. He shows that for legal prohibition to be politically viable without sparking revolt, rulers must either leverage widespread societal disapproval or frame their statutes within a universalised rhetoric of "natural order."</w:t>
      </w:r>
      <w:r>
        <w:rPr>
          <w:vertAlign w:val="superscript"/>
        </w:rPr>
        <w:t>66</w:t>
      </w:r>
      <w:r>
        <w:rPr/>
        <w:t xml:space="preserve"> It is the distinction between these three attitudes that then governs the instrument of implementation and how far it reached into intimate spheres of life.</w:t>
      </w:r>
    </w:p>
    <w:p>
      <w:pPr>
        <w:pStyle w:val="Normal"/>
        <w:spacing w:lineRule="auto" w:line="480"/>
        <w:ind w:firstLine="720"/>
        <w:rPr/>
      </w:pPr>
      <w:r>
        <w:rPr/>
        <w:t>This is also the point at which the Indian case departs from the standard account of moral regulation. Alan Hunt's history of the subject finds that such movements characteristically originate among the middle classes rather than with those holding institutional power, and that the state ratifies a demand which already exists. The colonial record ran the other way: where no domestic constituency existed at all, the state was still able to legislate, and the machinery it then required was correspondingly larger. The Indian case is therefore a limiting case against Hunt’s pattern, and the third mode below is where that divergence becomes visible.</w:t>
      </w:r>
    </w:p>
    <w:p>
      <w:pPr>
        <w:pStyle w:val="Normal"/>
        <w:spacing w:lineRule="auto" w:line="480"/>
        <w:ind w:firstLine="720"/>
        <w:rPr/>
      </w:pPr>
      <w:r>
        <w:rPr/>
        <w:t>The regulation of sati came closest to the first condition: prohibition as the ratification of an argument already won, though won among officials and reformers rather than among Indians at large. Ram Mohan Roy had campaigned against the practice since 1818, first through scriptural argument and subsequently through the Brahmo Samaj founded in 1828, generating substantial support for abolition among the Indian reformist elite well before Bentinck acted.</w:t>
      </w:r>
      <w:r>
        <w:rPr>
          <w:vertAlign w:val="superscript"/>
        </w:rPr>
        <w:t>67</w:t>
      </w:r>
      <w:r>
        <w:rPr/>
        <w:t xml:space="preserve"> That support did not extend to Bentinck's means. His minute of 8 November 1829 records that Roy advised suppressing the practice quietly, through the indirect agency of the police, fearing that a public enactment would cause general alarm, and the minute is the clearest record in the archive of the routing decision modelled here. Many of those consulted had recommended that quieter, administrative route. Bentinck rejected it because Parliament bound the government to rule by law and not by its good pleasure, and because, the British now being supreme, an indirect proceeding was no longer needed; he chose instead "an open, avowed, and general prohibition." The opinion he marshalled for it was largely official: the judges of the Nizamat Adalat, the two superintendents of police, and a canvass of forty-nine military officers, of whom twenty-four favoured immediate public suppression.</w:t>
      </w:r>
      <w:r>
        <w:rPr>
          <w:vertAlign w:val="superscript"/>
        </w:rPr>
        <w:t>68</w:t>
      </w:r>
      <w:r>
        <w:rPr/>
        <w:t xml:space="preserve"> Roy and his allies presented a congratulatory address once the Regulation was passed, while the orthodox Dharma Sabha petitioned the Privy Council against it.</w:t>
      </w:r>
      <w:r>
        <w:rPr>
          <w:vertAlign w:val="superscript"/>
        </w:rPr>
        <w:t>69</w:t>
      </w:r>
      <w:r>
        <w:rPr/>
        <w:t xml:space="preserve"> Bengal Sati Regulation XVII was consequently legible as the institutional enforcement of a position held within the administration and by Indian reformist leadership, which made criminalisation politically defensible and its public staging correspondingly effective. Bentinck's two reasons for choosing law over administration fit the framework as a constraint and a cost: once a conduct was to be suppressed openly, Parliament's requirement that the government act through law sent it into legislation, and the social-order cost of doing so fell as British supremacy grew.</w:t>
      </w:r>
    </w:p>
    <w:p>
      <w:pPr>
        <w:pStyle w:val="Normal"/>
        <w:spacing w:lineRule="auto" w:line="480"/>
        <w:ind w:firstLine="720"/>
        <w:rPr/>
      </w:pPr>
      <w:r>
        <w:rPr/>
        <w:t>Importantly, it was this elite constituency that mattered more to the state than the rest of the populace since they remained one of the most influential and powerful classes within Indian society. And in fact, as Ronald Robinson formulated in his collaboration theory, it was the bargain struck between the colonial powers and the local elite that allowed the British to govern.</w:t>
      </w:r>
      <w:r>
        <w:rPr>
          <w:vertAlign w:val="superscript"/>
        </w:rPr>
        <w:t>70</w:t>
      </w:r>
      <w:r>
        <w:rPr/>
        <w:t xml:space="preserve"> Anil Seal corroborates this idea by talking about the pre-requisite elite support for any legislation.</w:t>
      </w:r>
      <w:r>
        <w:rPr>
          <w:vertAlign w:val="superscript"/>
        </w:rPr>
        <w:t>71</w:t>
      </w:r>
      <w:r>
        <w:rPr/>
        <w:t xml:space="preserve"> Opposition capable of threatening the state, thus, required elite leadership to become mobilised, and elite support therefore functioned as the operative measure of political viability. Sati scored high on this measure, and its prohibition is remembered, still, as among the colonial state's more defensible acts.</w:t>
      </w:r>
    </w:p>
    <w:p>
      <w:pPr>
        <w:pStyle w:val="Normal"/>
        <w:spacing w:lineRule="auto" w:line="480"/>
        <w:ind w:firstLine="720"/>
        <w:rPr/>
      </w:pPr>
      <w:r>
        <w:rPr/>
        <w:t>Conversely, the Age of Consent Act 1891 illustrates the resolution of a divided consensus. Malabari's 1884 "Notes on Infant Marriage" had generated reformist support over seven years. Tilak's editorial response in Kesari and Mahratta on 15 February 1891 generated support in the opposite direction, stating that the opposition was "not against the particular reform advocated" but against a foreign legislature's authority to impose it on Hindu domestic life.</w:t>
      </w:r>
      <w:r>
        <w:rPr>
          <w:vertAlign w:val="superscript"/>
        </w:rPr>
        <w:t>72</w:t>
      </w:r>
      <w:r>
        <w:rPr/>
        <w:t xml:space="preserve"> The Council's own proceedings registered the same division within the chamber. Sir Romesh Chunder Mitter set out his objection in a minute of dissent to the Select Committee's report, and was absent through illness when the Council passed the bill on 19 March 1891; Rao Bahadur Krishnaji Lakshman Nulkar and the Viceroy, Lord Lansdowne, </w:t>
      </w:r>
      <w:r>
        <w:rPr/>
        <w:t>spoke for it.</w:t>
      </w:r>
      <w:r>
        <w:rPr>
          <w:vertAlign w:val="superscript"/>
        </w:rPr>
        <w:t>73</w:t>
      </w:r>
      <w:r>
        <w:rPr/>
        <w:t xml:space="preserve"> The passage of the bill despite this opposition carried a political cost: Tilak used the debate as an instrument of nationalist recruitment, and the Act became evidence for the incompatibility of colonial governance with Hindu self-determination. The colonial state accepted this cost because the moral authority of reformist opinion, more common within the elite, outweighed the nationalist backlash. The Act is therefore the case in this analysis where the third factor was most evenly divided. Criticality and diffuseness both scored toward a universal provision, and on the measure used here, the balance of elite Indian opinion rather than of Indian opinion at large, the reformists held a narrow advantage over a nationalist opposition able to mobilise beyond the elite. The state legislated regardless.</w:t>
      </w:r>
    </w:p>
    <w:p>
      <w:pPr>
        <w:pStyle w:val="Normal"/>
        <w:spacing w:lineRule="auto" w:line="480"/>
        <w:ind w:firstLine="720"/>
        <w:rPr/>
      </w:pPr>
      <w:r>
        <w:rPr/>
        <w:t>As established earlier, the nation's thinkers and literary elites were an indispensable constituency. Charles Trevelyan, writing in 1838, set out precisely why. The objection he answers is the obvious one - that "by giving them knowledge, we are giving them power, of which they will make the first use against ourselves" - and his rebuttal is that an English education produces the opposite result.</w:t>
      </w:r>
      <w:r>
        <w:rPr>
          <w:vertAlign w:val="superscript"/>
        </w:rPr>
        <w:t>74</w:t>
      </w:r>
      <w:r>
        <w:rPr/>
        <w:t xml:space="preserve"> Indian youth schooled in English literature, he argued, "almost cease to regard us as foreigners… they become more English than Hindus, just as the Roman provincials became more Romans than Gauls or Italians."</w:t>
      </w:r>
      <w:r>
        <w:rPr>
          <w:vertAlign w:val="superscript"/>
        </w:rPr>
        <w:t>75</w:t>
      </w:r>
      <w:r>
        <w:rPr/>
        <w:t xml:space="preserve"> The political return was stated without embarrassment: such men "will then cease to desire and aim at independence on the old Indian footing," and "there is no class of our subjects to whom we are so thoroughly necessary as those whose opinions have been cast in the English mould."</w:t>
      </w:r>
      <w:r>
        <w:rPr>
          <w:vertAlign w:val="superscript"/>
        </w:rPr>
        <w:t>76</w:t>
      </w:r>
      <w:r>
        <w:rPr/>
        <w:t xml:space="preserve"> The appeasement of this class of elites was a primary motive in the empire's decision-making. It would also become the instrument that made the political paradox described at the beginning of this paper possible.</w:t>
      </w:r>
    </w:p>
    <w:p>
      <w:pPr>
        <w:pStyle w:val="Normal"/>
        <w:spacing w:lineRule="auto" w:line="480"/>
        <w:ind w:firstLine="720"/>
        <w:rPr/>
      </w:pPr>
      <w:r>
        <w:rPr/>
        <w:t>On the very other end of this spectrum lay Part I of the Criminal Tribes Act 1871 representing passage against not just the population but even the state's own apparatus. J.F. Stephen, the law member who steered the Bill through the Governor-General's Legislative Council in 1870-1871, argued that ordinary criminal law was too weak to deal with the perceived threat posed by criminal tribes, and that targeted registration and surveillance of identifiable communities was essential.</w:t>
      </w:r>
      <w:r>
        <w:rPr>
          <w:vertAlign w:val="superscript"/>
        </w:rPr>
        <w:t>77</w:t>
      </w:r>
      <w:r>
        <w:rPr/>
        <w:t xml:space="preserve"> The dissent the Act overrode was almost entirely internal. The Bombay Government characterised the provisions as objectionable; the Chief Commissioner of the Central Provinces found them "unnecessary in practice as well as objectionable in principle"; and Commissioner Nembhard of East Berar, quoted by Stephen himself at the Bill's first reading, described them as "measures savouring more of an age of barbarism and opposed to all ideas of humanity and civilisation."</w:t>
      </w:r>
      <w:r>
        <w:rPr>
          <w:vertAlign w:val="superscript"/>
        </w:rPr>
        <w:t>78</w:t>
      </w:r>
      <w:r>
        <w:rPr/>
        <w:t xml:space="preserve"> The Act passed regardless - on 12 October 1871, by the assent of the Governor-General - over the collective dissent of the administrations responsible for implementing it.</w:t>
      </w:r>
    </w:p>
    <w:p>
      <w:pPr>
        <w:pStyle w:val="Normal"/>
        <w:spacing w:lineRule="auto" w:line="480"/>
        <w:ind w:firstLine="720"/>
        <w:rPr/>
      </w:pPr>
      <w:r>
        <w:rPr/>
        <w:t>A prohibition expressing an existing consensus requires only enforcement; installing one, however, requires an apparatus capable of producing the consensus it presupposes, and that apparatus was educational. Under the Act as amended in 1897 and re-enacted in 1911, children of registered communities could be separated from their families and placed in reformatory settlement schools. Twentieth-century reporting on the Act's administration in the United Provinces made the object explicit: the only effective course was held to be isolating the children from what was called the contaminating influence of their parents and raising them in reformatory schools or settlements, so that the criminal habits of the tribe would within a generation or two be entirely eradicated.</w:t>
      </w:r>
      <w:r>
        <w:rPr>
          <w:vertAlign w:val="superscript"/>
        </w:rPr>
        <w:t>79</w:t>
      </w:r>
      <w:r>
        <w:rPr/>
        <w:t xml:space="preserve"> The provision is the same instrument identified under the second factor - control of the institution of transmission - and its presence is itself diagnostic of a manufactured consensus.</w:t>
      </w:r>
    </w:p>
    <w:p>
      <w:pPr>
        <w:pStyle w:val="Normal"/>
        <w:spacing w:lineRule="auto" w:line="480"/>
        <w:ind w:firstLine="720"/>
        <w:rPr/>
      </w:pPr>
      <w:r>
        <w:rPr/>
        <w:t>The framework has now been established from four conducts and assessed against indicators stated in advance of the analysis. What follows applies it to same-sex conduct. Three questions follow directly from the three factors, and they are addressed in turn: in which register of justification the archive located the criticality of same-sex conduct; how large the delta between the displaced legal orders and the code was, and how officials described the conduct's spread; and if the documentary record before 1860 reflects an Indian constituency advocating prohibition.</w:t>
      </w:r>
    </w:p>
    <w:p>
      <w:pPr>
        <w:pStyle w:val="Heading1"/>
        <w:spacing w:before="360" w:after="200"/>
        <w:rPr/>
      </w:pPr>
      <w:r>
        <w:rPr/>
        <w:t>Same-Sex Conduct and the Three Factors</w:t>
      </w:r>
    </w:p>
    <w:p>
      <w:pPr>
        <w:pStyle w:val="Normal"/>
        <w:spacing w:lineRule="auto" w:line="480"/>
        <w:rPr/>
      </w:pPr>
      <w:r>
        <w:rPr/>
        <w:t>The answers to the aforementioned questions are uneven, and that unevenness is the most prominent finding in this paper. Same-sex conduct scores toward criminal prohibition on all three factors, but not for the same reasons or with the same confidence, the third being the most consequential analytically. Because the criminal route already existed, what the factors explain here is the form the prohibition took in the code: a single provision binding everyone.</w:t>
      </w:r>
    </w:p>
    <w:p>
      <w:pPr>
        <w:pStyle w:val="Heading2"/>
        <w:spacing w:before="280" w:after="160"/>
        <w:rPr/>
      </w:pPr>
      <w:r>
        <w:rPr/>
        <w:t>Criticality</w:t>
      </w:r>
    </w:p>
    <w:p>
      <w:pPr>
        <w:pStyle w:val="Normal"/>
        <w:spacing w:lineRule="auto" w:line="480"/>
        <w:rPr/>
      </w:pPr>
      <w:r>
        <w:rPr/>
        <w:t>Same-sex conduct's regulation operated on two levels of criticality. The primary was the maintenance of imperial moral authority, specifically the 'civilised administrator versus deviant native' differential on which colonial legitimacy rested. The secondary register was economic - in the form of forced economic restructuring that followed from the moral project. The record for this factor is thin in a precise way. The drafters left no justification for the clauses at all, so the register cannot be read from dispatches; it has to be read from the provision's form and from how the prohibition was later administered, and the later material below is evidence of how the prohibition was maintained rather than of why it was enacted.</w:t>
      </w:r>
    </w:p>
    <w:p>
      <w:pPr>
        <w:pStyle w:val="Normal"/>
        <w:spacing w:lineRule="auto" w:line="480"/>
        <w:ind w:firstLine="720"/>
        <w:rPr/>
      </w:pPr>
      <w:r>
        <w:rPr/>
        <w:t>The "carnal intercourse against the order of nature" phrasing in Section 377 is the result of a theological definition beginning with the normative phrasing of Augustine's Confessions, eventually making its way into medieval theology through the Summa Theologiae (II-II, Q.154, written in the early 1270s and left unfinished at Aquinas's death in 1274), which established the commission of an injury to God "in sins contrary to nature."</w:t>
      </w:r>
      <w:r>
        <w:rPr>
          <w:vertAlign w:val="superscript"/>
        </w:rPr>
        <w:t>80</w:t>
      </w:r>
      <w:r>
        <w:rPr/>
        <w:t xml:space="preserve"> English law, in turn, took the prohibition into the Buggery Act of 1533 and the definition into Coke's Institutes, and through the code's final revision in the 1850s it entered Indian criminal law. This lineage is the reason the provision was never publicly defended in the terms that actually generated it. Queen Victoria's Proclamation of 1858 disclaimed any desire to impose the Queen's own convictions, which it identified as Christian, in matters of religious belief. A criminal provision encoding a Christian and procreative definition of nature is, on its face, exactly such an imposition. The code that contained it was the same instrument that displaced Islamic criminal law from the Company's courts without registering, in the state's own framework, as religious interference, and Section 377 travelled inside that displacement. The state could not afford an examination of this claim, and this aversion is already evident in Macaulay's own statements concerning this draft.</w:t>
      </w:r>
    </w:p>
    <w:p>
      <w:pPr>
        <w:pStyle w:val="Normal"/>
        <w:spacing w:lineRule="auto" w:line="480"/>
        <w:ind w:firstLine="720"/>
        <w:rPr/>
      </w:pPr>
      <w:r>
        <w:rPr/>
        <w:t>The most apparent depiction of this moral differential was Burton's Karachi brothels report, mentioned in the terminal essay to his translation of the Thousand Nights and a Night - written in 1886. Burton wrote the report around 1845 at the request of General Charles Napier, to investigate three establishments where "boys and eunuchs rather than women lay for hire"; by his own later account, it was afterwards used in an attempt to disgrace him. The state was willing to commission the inquiry for its own purposes, but the report was never published: the moral condemnation the state maintained in public required same-sex conduct to be treated as a subject of instinctual revulsion rather than something to be studied.</w:t>
      </w:r>
      <w:r>
        <w:rPr>
          <w:vertAlign w:val="superscript"/>
        </w:rPr>
        <w:t>81</w:t>
      </w:r>
    </w:p>
    <w:p>
      <w:pPr>
        <w:pStyle w:val="Normal"/>
        <w:spacing w:lineRule="auto" w:line="480"/>
        <w:ind w:firstLine="720"/>
        <w:rPr/>
      </w:pPr>
      <w:r>
        <w:rPr/>
        <w:t>In the case of Queen-Empress v. Khairati (1884) this impositional morality starts becoming even more evident. But only by 1925, in Khanu v. Emperor (AIR 1925 Sind 286) is its complete embedding into society visible. In determining if oral sex fell within the scope of Section 377, the judgment stated: "The natural object of carnal intercourse is that there should be the possibility of conception of human beings, which in the case of coitus per os is impossible." Oral sex was described as "the sin of Gomorrah."</w:t>
      </w:r>
      <w:r>
        <w:rPr>
          <w:vertAlign w:val="superscript"/>
        </w:rPr>
        <w:t>82</w:t>
      </w:r>
      <w:r>
        <w:rPr/>
        <w:t xml:space="preserve"> This is the exact Augustinian-Thomistic framework of procreative sex as the God-mandated purpose of the body. Khanu was not the first ruling on the question, since a Mysore court had held in 1884 that oral sex fell outside the section, but its procreative test was the one later courts adopted, and it made explicit the moral standard that the code's drafters had left unstated.</w:t>
      </w:r>
      <w:r>
        <w:rPr>
          <w:vertAlign w:val="superscript"/>
        </w:rPr>
        <w:t>83</w:t>
      </w:r>
    </w:p>
    <w:p>
      <w:pPr>
        <w:pStyle w:val="Normal"/>
        <w:spacing w:lineRule="auto" w:line="480"/>
        <w:ind w:firstLine="720"/>
        <w:rPr/>
      </w:pPr>
      <w:r>
        <w:rPr/>
        <w:t>Despite the stern maintenance of this stance, much more consequential to the state was the dissolution of this superiority. Ronald Hyam has established that the British long feared that Europeans would turn native, losing their moral superiority and thus their claim to govern.</w:t>
      </w:r>
      <w:r>
        <w:rPr>
          <w:vertAlign w:val="superscript"/>
        </w:rPr>
        <w:t>84</w:t>
      </w:r>
      <w:r>
        <w:rPr/>
        <w:t xml:space="preserve"> This differential suggests three distinct categories of condemnation within the governance of same-sex conduct: those between two British soldiers that could be addressed internally, those between two natives that could be framed as a native vice, and those between a British subject and a native which threatened both the moral differential and the political position of the empire. The latter, on this reading, posed the greatest threat. Two cases are consistent with this reading, though they cannot establish it. In 1869 Adolphus Nixdolf was sentenced in Bombay to 10 years in prison after he was found "lying with a boy… clothes unbuttoned," and for behaving in a "scandalous and indecent manner."</w:t>
      </w:r>
      <w:r>
        <w:rPr>
          <w:vertAlign w:val="superscript"/>
        </w:rPr>
        <w:t>85</w:t>
      </w:r>
      <w:r>
        <w:rPr/>
        <w:t xml:space="preserve"> In 1863 James A'Hearn and Owen Newman received comparable sentences, of fifteen and seven years, from a naval court martial. The treatment of the two cases differs: the former was dealt with in a public courtroom with the language of the case itself morally condemning Nixdolf, unlike A'Hearn and Newman, both of whom were dealt with in a military court without similar moral condemnation being the substance of the case.</w:t>
      </w:r>
      <w:r>
        <w:rPr>
          <w:vertAlign w:val="superscript"/>
        </w:rPr>
        <w:t>86</w:t>
      </w:r>
      <w:r>
        <w:rPr/>
        <w:t xml:space="preserve"> But the difference in forum follows as much from the defendants' status as from the racial character of the acts, and the sentences were comparable; the three categories remain a hypothesis that a systematic comparison of cases would have to test.</w:t>
      </w:r>
    </w:p>
    <w:p>
      <w:pPr>
        <w:pStyle w:val="Normal"/>
        <w:spacing w:lineRule="auto" w:line="480"/>
        <w:ind w:firstLine="720"/>
        <w:rPr/>
      </w:pPr>
      <w:r>
        <w:rPr/>
        <w:t>What this racial differential suggests, above all, is that the maintenance of moral superiority was a primary concern for the British since this is what permitted them to regulate native sexual diversity, leading to certain categories and instances being treated more harshly than others.</w:t>
      </w:r>
    </w:p>
    <w:p>
      <w:pPr>
        <w:pStyle w:val="Normal"/>
        <w:spacing w:lineRule="auto" w:line="480"/>
        <w:ind w:firstLine="720"/>
        <w:rPr/>
      </w:pPr>
      <w:r>
        <w:rPr/>
        <w:t>The Criminal Tribes Act 1871 carried a second and secondary criticality. Hijra communities had held established economic functions across the preceding centuries, including customary entitlements to payment for performance at births and marriages.</w:t>
      </w:r>
      <w:r>
        <w:rPr>
          <w:vertAlign w:val="superscript"/>
        </w:rPr>
        <w:t>87</w:t>
      </w:r>
      <w:r>
        <w:rPr/>
        <w:t xml:space="preserve"> Part II of the 1871 Act criminalised the visible exercise of those functions in the North-Western Provinces: registration of eunuchs suspected of offences under Section 377, and prohibition on appearing dressed or ornamented like a woman in public. The declared object, in the administration's own terms, extended registration beyond those physically mutilated to all who habitually appeared in female attire or performed publicly, with the gradual extinction of the community as the stated end.</w:t>
      </w:r>
      <w:r>
        <w:rPr>
          <w:vertAlign w:val="superscript"/>
        </w:rPr>
        <w:t>88</w:t>
      </w:r>
    </w:p>
    <w:p>
      <w:pPr>
        <w:pStyle w:val="Normal"/>
        <w:spacing w:lineRule="auto" w:line="480"/>
        <w:ind w:firstLine="720"/>
        <w:rPr/>
      </w:pPr>
      <w:r>
        <w:rPr/>
        <w:t>The ordering matters for the framework's purposes. Under thuggee the economic register was primary and the moral framing followed; here the sequence is reversed. Economic displacement was a consequence of a moral project rather than its motive, and the instrument's design shows this: the Act targeted appearance and performance, which are the outward signs of the identity, rather than the receipt of income as such.</w:t>
      </w:r>
    </w:p>
    <w:p>
      <w:pPr>
        <w:pStyle w:val="Heading2"/>
        <w:spacing w:before="280" w:after="160"/>
        <w:rPr/>
      </w:pPr>
      <w:r>
        <w:rPr/>
        <w:t>Delta and Diffuseness</w:t>
      </w:r>
    </w:p>
    <w:p>
      <w:pPr>
        <w:pStyle w:val="Normal"/>
        <w:spacing w:lineRule="auto" w:line="480"/>
        <w:rPr/>
      </w:pPr>
      <w:r>
        <w:rPr/>
        <w:t>Two assessments shaped the colonial state's choice of governance instrument once a conduct was determined to be critical: how large the gap between existing practice and the desired state was, and if the practice was capable of spreading through social and institutional interactions.</w:t>
      </w:r>
    </w:p>
    <w:p>
      <w:pPr>
        <w:pStyle w:val="Normal"/>
        <w:spacing w:lineRule="auto" w:line="480"/>
        <w:ind w:firstLine="720"/>
        <w:rPr/>
      </w:pPr>
      <w:r>
        <w:rPr/>
        <w:t>Against the Hindu textual tradition, which was not an operative criminal law by 1860 but supplied the moral vocabulary the code overrode, the distance is extreme. Manusmriti XI.175 prescribes, for a twice-born man committing an unnatural offence with a male, that he bathe clothed - a minor ritual impurity, comparable in its own framework to having sex during the daytime or in a cart. The same text punishes a woman who deflowers a maiden severely (VIII.369-370), so its leniency was specific to the male case it names rather than a general indifference to same-sex acts.</w:t>
      </w:r>
      <w:r>
        <w:rPr>
          <w:vertAlign w:val="superscript"/>
        </w:rPr>
        <w:t>89</w:t>
      </w:r>
      <w:r>
        <w:rPr/>
        <w:t xml:space="preserve"> The Arthashastra's criminal-law book (Book IV) treats the conduct as an offence attracting a fine of the lowest </w:t>
      </w:r>
      <w:r>
        <w:rPr/>
        <w:t>grade.</w:t>
      </w:r>
      <w:r>
        <w:rPr>
          <w:vertAlign w:val="superscript"/>
        </w:rPr>
        <w:t>90</w:t>
      </w:r>
      <w:r>
        <w:rPr/>
        <w:t xml:space="preserve"> The Kama Sutra operated on a premise that had no framework for producing either classification: kama - desire, including homoerotic desire - was one of the four legitimate aims of human life. Evidently, the 'order of nature' had no counterpart in precolonial India since procreation was never regarded as the sole legitimate goal of sexual conduct. The distance between these benign forms of sanction and the transportation for life prescribed by Section 377 is the best depiction of the moral, as distinct from the legal, delta between pre-colonial and colonial regulation.</w:t>
      </w:r>
    </w:p>
    <w:p>
      <w:pPr>
        <w:pStyle w:val="Normal"/>
        <w:spacing w:lineRule="auto" w:line="480"/>
        <w:ind w:firstLine="720"/>
        <w:rPr/>
      </w:pPr>
      <w:r>
        <w:rPr/>
        <w:t>The legal orders the code actually displaced tell a different story. In the Crown's courts, buggery had been a capital offence since 1828, so that Section 377 reduced the maximum penalty from death to transportation for life; in most of the Company's courts, the Islamic criminal law they administered left liwat, on the Hanafi view, to the judge's discretion. Measured on severity, the delta therefore does not run uniformly, which the two-part measure stated in advance allows for. Measured on breadth, it runs one way. What Section 377 altered was not the severity of the sanction but its scope - from a prohibition divided by jurisdiction and, in its Islamic form, left to judicial discretion, to a single secular provision binding everyone.</w:t>
      </w:r>
    </w:p>
    <w:p>
      <w:pPr>
        <w:pStyle w:val="Normal"/>
        <w:spacing w:lineRule="auto" w:line="480"/>
        <w:ind w:firstLine="720"/>
        <w:rPr/>
      </w:pPr>
      <w:r>
        <w:rPr/>
        <w:t>Nor was same-sex conduct described, in the legal tradition the drafters drew on, as the property of an identifiable community in the way thuggee was described as the trade of hereditary gangs. English law since Coke had defined the offence as an act that any person might commit, not as the mark of a kind of person, and the clauses Macaulay drafted followed that description; Section 377 accordingly reached "any man, woman or animal." Where officials did come to describe a community - the hijras of the North-Western Provinces, whom Hinchy shows administrators portraying from the 1850s as a group that perpetuated itself by acquiring boys - the state legislated by naming them, in Part II of the Criminal Tribes Act. The two instruments split along the line this factor predicts. It was these 'means of communicability' that Part II targeted to prevent the reproduction of the community in the next generation, and section 27 did exactly that by prohibiting a registered eunuch from having "in his charge... any boy who has not completed the age of sixteen years."</w:t>
      </w:r>
      <w:r>
        <w:rPr>
          <w:vertAlign w:val="superscript"/>
        </w:rPr>
        <w:t>91</w:t>
      </w:r>
      <w:r>
        <w:rPr/>
        <w:t xml:space="preserve"> The Act's stated ground for registration in section 24 included suspicion of kidnapping or castrating children, which a child-protection reading of section 27 would invoke; but section 27 required no allegation of harm at all. Read against the guru-chela relation described earlier - a bond through which identity, livelihood and community membership were transmitted, and which constituted the disciple rather than merely instructing him - the provision is not a child-protection measure. The state had identified the institution through which the community continued and legislated directly against it, which is the same instrument identified under the second factor in the case of education, applied to a smaller and more vulnerable target, in one province, for four decades.</w:t>
      </w:r>
    </w:p>
    <w:p>
      <w:pPr>
        <w:pStyle w:val="Normal"/>
        <w:spacing w:lineRule="auto" w:line="480"/>
        <w:ind w:firstLine="720"/>
        <w:rPr/>
      </w:pPr>
      <w:r>
        <w:rPr/>
        <w:t>The general case ran through education, though less directly than a policy of replacement would imply. The Education Despatch of 1854 extended government and grant-aided schooling, in English and in the vernaculars, and led to the universities founded in 1857; it did not abolish the indigenous schools.</w:t>
      </w:r>
      <w:r>
        <w:rPr>
          <w:vertAlign w:val="superscript"/>
        </w:rPr>
        <w:t>92</w:t>
      </w:r>
      <w:r>
        <w:rPr/>
        <w:t xml:space="preserve"> What it changed was the curriculum that carried prestige: English literature and the moral framework it carried became the content of the education that led to office and status, while the older learning in which the Kama Sutra and the Mahabharata's Shikhandi narratives had circulated lost standing. The decisive transmission, however, was Indian. By the late nineteenth century Indian reformers were repudiating homoerotic conventions themselves: Altaf Husain Hali's critique of the Urdu ghazal is one example, and the Hindu campaigns against "obscenity" that Charu Gupta documents are another.</w:t>
      </w:r>
      <w:r>
        <w:rPr>
          <w:vertAlign w:val="superscript"/>
        </w:rPr>
        <w:t>93</w:t>
      </w:r>
      <w:r>
        <w:rPr/>
        <w:t xml:space="preserve"> The consensus the provision presupposed was completed by Indians educated within the new framework, which is why it could later be defended as Indian.</w:t>
      </w:r>
    </w:p>
    <w:p>
      <w:pPr>
        <w:pStyle w:val="Heading2"/>
        <w:spacing w:before="280" w:after="160"/>
        <w:rPr/>
      </w:pPr>
      <w:r>
        <w:rPr/>
        <w:t>Attitude Distribution</w:t>
      </w:r>
    </w:p>
    <w:p>
      <w:pPr>
        <w:pStyle w:val="Normal"/>
        <w:spacing w:lineRule="auto" w:line="480"/>
        <w:rPr/>
      </w:pPr>
      <w:r>
        <w:rPr/>
        <w:t>Most significantly there is little evidence of an Indian reformist movement demanding criminalisation of same-sex conduct in the record assembled by the existing scholarship prior to Section 377's enactment. The categories that matter are those in which the comparison cases leave traces: petitions to government, reformist pamphlets and tracts, vernacular and English-language press campaigns, and named interventions in the Legislative Council. Sati and child marriage register in all four. Same-sex conduct registers in none of them in the published scholarship on the period; a systematic search of these sources remains to be done, and the conclusion below carries that limit. For sati, Ram Mohan Roy had been publicly campaigning since 1818; Bentinck's November 1829 minute records him as a warm advocate of abolition, if not of the means Bentinck chose. For child marriage, Malabari had been publishing since 1884, and the Legislative Council's proceedings of 1891 recorded named Indian members on both sides of the bill. For same-sex conduct, no equivalent figure exists. The 'moral panics' that Hinchy documents from the 1850s onward were happening in colonial official circles - not in Indian society.</w:t>
      </w:r>
      <w:r>
        <w:rPr>
          <w:vertAlign w:val="superscript"/>
        </w:rPr>
        <w:t>94</w:t>
      </w:r>
    </w:p>
    <w:p>
      <w:pPr>
        <w:pStyle w:val="Normal"/>
        <w:spacing w:lineRule="auto" w:line="480"/>
        <w:ind w:firstLine="720"/>
        <w:rPr/>
      </w:pPr>
      <w:r>
        <w:rPr/>
        <w:t>Three features of the enactment are consistent with this.</w:t>
      </w:r>
    </w:p>
    <w:p>
      <w:pPr>
        <w:pStyle w:val="Normal"/>
        <w:spacing w:lineRule="auto" w:line="480"/>
        <w:ind w:firstLine="720"/>
        <w:rPr/>
      </w:pPr>
      <w:r>
        <w:rPr/>
        <w:t>The first is the manner of drafting. Macaulay declined to discuss the anti-sodomy clauses, recording only that the offences were of an odious class about which as little as possible should be said. That silence followed an English convention - Coke had called the offence a sin not to be named among Christians - so it is not diagnostic on its own. What is diagnostic is the contrast with adultery, the sexual offence on which the drafters' choice is most visible. Macaulay omitted adultery from the draft and gave his reasons, grounding them in the condition of Indian marriage: wives married as children, polygamy, and a law that let a husband fill his zenana while it would punish the inconstancy of the wife. The Law Commissioners disagreed in 1847, recommending that the offence be included with the man alone made punishable, and the code enacted it as section 497.</w:t>
      </w:r>
      <w:r>
        <w:rPr>
          <w:vertAlign w:val="superscript"/>
        </w:rPr>
        <w:t>95</w:t>
      </w:r>
      <w:r>
        <w:rPr/>
        <w:t xml:space="preserve"> Where the drafters thought Indian conditions bore on a sexual offence, they reasoned from them and said so; for this one, they did neither. A provision responding to a demonstrated public demand does not require this treatment; silence was serviceable because the provision had no constituency to invoke.</w:t>
      </w:r>
    </w:p>
    <w:p>
      <w:pPr>
        <w:pStyle w:val="Normal"/>
        <w:spacing w:lineRule="auto" w:line="480"/>
        <w:ind w:firstLine="720"/>
        <w:rPr/>
      </w:pPr>
      <w:r>
        <w:rPr/>
        <w:t>The second is the disappearance of the consent distinction between Macaulay's 1837 draft and the text enacted in 1860. A law addressing a harm must distinguish on the basis of willingness while one asserting the intrinsic abomination of an act has no use for that distinction. The enacted section took the latter form.</w:t>
      </w:r>
    </w:p>
    <w:p>
      <w:pPr>
        <w:pStyle w:val="Normal"/>
        <w:spacing w:lineRule="auto" w:line="480"/>
        <w:ind w:firstLine="720"/>
        <w:rPr/>
      </w:pPr>
      <w:r>
        <w:rPr/>
        <w:t>The third is enforcement. In the Khairati prosecution of 1884 - the first significant case under the provision - the proceedings originated with the police, who acted on finding Khairati singing in women's clothing in her village. No Indian complainant appears in the record. Justice Straight, acquitting for want of evidence connecting the accused to any specific act, nonetheless commended the police for checking such practices with the disgust registered in the judicial record.</w:t>
      </w:r>
      <w:r>
        <w:rPr>
          <w:vertAlign w:val="superscript"/>
        </w:rPr>
        <w:t>96</w:t>
      </w:r>
    </w:p>
    <w:p>
      <w:pPr>
        <w:pStyle w:val="Normal"/>
        <w:spacing w:lineRule="auto" w:line="480"/>
        <w:ind w:firstLine="720"/>
        <w:rPr/>
      </w:pPr>
      <w:r>
        <w:rPr/>
        <w:t>Neither universality nor absence of constituency is individually remarkable but their combination is. A state legislating universally in response to a broad popular demand can be considered as executing a mandate and one legislating narrowly without such demand can be considered as exercising administrative discretion. A state legislating universally while no domestic constituency exists at all is installing a norm where none exists, and the scale of the apparatus is proportional to the distance between the norm and the society receiving it.</w:t>
      </w:r>
    </w:p>
    <w:p>
      <w:pPr>
        <w:pStyle w:val="Normal"/>
        <w:spacing w:lineRule="auto" w:line="480"/>
        <w:ind w:firstLine="720"/>
        <w:rPr/>
      </w:pPr>
      <w:r>
        <w:rPr/>
        <w:t>The same factors explain why the state chose otherwise for sexual conduct it also condemned. Prostitution it regulated administratively, through the registration and medical inspection of women under the Cantonment Act of 1864 and the Indian Contagious Diseases Act of 1868. The criticality there was military, the health of British soldiers, rather than moral; officials described the conduct as confined to identifiable women in identifiable places, who could be registered; and the state needed the conduct managed rather than ended.</w:t>
      </w:r>
      <w:r>
        <w:rPr>
          <w:vertAlign w:val="superscript"/>
        </w:rPr>
        <w:t>97</w:t>
      </w:r>
      <w:r>
        <w:rPr/>
        <w:t xml:space="preserve"> Administration was available for a conduct the state wished to keep within bounds. For a conduct it wished to place outside nature, only universal criminal law would serve.</w:t>
      </w:r>
    </w:p>
    <w:p>
      <w:pPr>
        <w:pStyle w:val="Normal"/>
        <w:spacing w:lineRule="auto" w:line="480"/>
        <w:ind w:firstLine="720"/>
        <w:rPr/>
      </w:pPr>
      <w:r>
        <w:rPr/>
        <w:t>The apparatus for same-sex conduct was comprehensive in design, though its parts aimed at hijras were confined to one province and lapsed in 1911. It addressed the act (Section 377), gender presentation and identity (Criminal Tribes Act Part II), spatial presence (the prohibition on public appearance in female dress), and generational transmission (Section 27). A prohibition installing a consensus requires a machinery capable of producing it, and these four mechanisms provided that machinery.</w:t>
      </w:r>
    </w:p>
    <w:p>
      <w:pPr>
        <w:pStyle w:val="Normal"/>
        <w:spacing w:lineRule="auto" w:line="480"/>
        <w:ind w:firstLine="720"/>
        <w:rPr/>
      </w:pPr>
      <w:r>
        <w:rPr/>
        <w:t>One measure of how thoroughly that construction succeeded is the 2008 affidavit submitted by India's Ministry of Home Affairs in Naz Foundation v. Government of NCT of Delhi (W.P.(C) No. 7455/2001), defending Section 377 against a constitutional challenge. The affidavit stated: "The law does not run separately from society. It only reflects the perception of the society."</w:t>
      </w:r>
      <w:r>
        <w:rPr>
          <w:vertAlign w:val="superscript"/>
        </w:rPr>
        <w:t>98</w:t>
      </w:r>
      <w:r>
        <w:rPr/>
        <w:t xml:space="preserve"> That was the Home Ministry, sixty-one years after independence, defending a provision derived from 13th-century Catholic theology as a reflection of Indian social values, although in the same case the Health Ministry's AIDS control organisation argued the opposite. The stronger measure is the Supreme Court's own: after the Delhi High Court read the section down in 2009, the Supreme Court restored it in Suresh Kumar Koushal v. Naz Foundation in 2013 and left any change to Parliament.</w:t>
      </w:r>
      <w:r>
        <w:rPr>
          <w:vertAlign w:val="superscript"/>
        </w:rPr>
        <w:t>99</w:t>
      </w:r>
      <w:r>
        <w:rPr/>
        <w:t xml:space="preserve"> For a ministry and for the country's highest court, the fabricated consensus was by then indistinguishable from a moral position India had always held.</w:t>
      </w:r>
    </w:p>
    <w:p>
      <w:pPr>
        <w:pStyle w:val="Normal"/>
        <w:spacing w:lineRule="auto" w:line="480"/>
        <w:ind w:firstLine="720"/>
        <w:rPr/>
      </w:pPr>
      <w:r>
        <w:rPr/>
        <w:t>The application of these three factors finally resolves the political paradox identified in the introduction. Modern Indian nationalism's alignment with colonial sexual morality is the successful outcome of a moral construction project that began with the code's anti-sodomy clauses, drafted in 1837 and given their final form in the 1850s, was carried forward by an English-led curriculum after 1854 and by Indian reformers who came to share its premises, and was confirmed when the Law Commission of independent India recommended keeping the provision in 1971. The 'order of nature' Section 377 inscribed was never India's definition of nature. It was Augustine's, mediated through Aquinas, Coke, and a colonial legislature that never debated it. That by 2008 the Home Ministry was defending it as a reflection of Indian society's own perceptions, that the Supreme Court restored it in 2013 - and that it required a Supreme Court bench in 2018 to expose it as "irrational, indefensible and manifestly arbitrary" - is the measure of how thoroughly the construction had succeeded.</w:t>
      </w:r>
    </w:p>
    <w:p>
      <w:pPr>
        <w:pStyle w:val="Heading1"/>
        <w:spacing w:before="360" w:after="200"/>
        <w:rPr/>
      </w:pPr>
      <w:r>
        <w:rPr/>
        <w:t>Durability and Reversal</w:t>
      </w:r>
    </w:p>
    <w:p>
      <w:pPr>
        <w:pStyle w:val="Normal"/>
        <w:spacing w:lineRule="auto" w:line="480"/>
        <w:rPr/>
      </w:pPr>
      <w:r>
        <w:rPr/>
        <w:t>As evidenced above, criminal prohibition and administrative policy produced structurally different social realities with distinct durability profiles. Administrative policy is instrumentally responsive: it shifts as evidence, cost or political will shift. Criminal prohibition deposits stigma, and stigma is self-reinforcing in a way policy is not. It shapes the norms of the society living under it; those norms reproduce the attitudes that make repeal costly; and the resulting cost sustains the stigma independently of whether the law is enforced at all.</w:t>
      </w:r>
    </w:p>
    <w:p>
      <w:pPr>
        <w:pStyle w:val="Normal"/>
        <w:spacing w:lineRule="auto" w:line="480"/>
        <w:ind w:firstLine="720"/>
        <w:rPr/>
      </w:pPr>
      <w:r>
        <w:rPr/>
        <w:t>The Criminal Tribes Act and Section 377 constitute a useful test of this proposition, and the comparison is the strongest durability evidence this paper has, though it must be stated with care. Both were enacted by the same state within eleven years of each other, and both addressed adjacent conduct. Part II of the 1871 Act, which named eunuchs, was confined to the North-Western Provinces and repealed by the colonial state itself in 1911. What independent India inherited was the community-naming logic of Part I, re-enacted in 1911 and consolidated in the Criminal Tribes Act of 1924; it was repealed in 1952, within five years of independence and with little controversy, and the communities it had designated were formally denotified.</w:t>
      </w:r>
      <w:r>
        <w:rPr>
          <w:vertAlign w:val="superscript"/>
        </w:rPr>
        <w:t>100</w:t>
      </w:r>
      <w:r>
        <w:rPr/>
        <w:t xml:space="preserve"> Even that repeal was partial, since the state Habitual Offenders Acts that followed carried the practice of designation forward.</w:t>
      </w:r>
      <w:r>
        <w:rPr>
          <w:vertAlign w:val="superscript"/>
        </w:rPr>
        <w:t>101</w:t>
      </w:r>
      <w:r>
        <w:rPr/>
        <w:t xml:space="preserve"> Section 377 survived a further seventy-one years: read down by the Delhi High Court in 2009, restored by the Supreme Court in 2013, and read down again in Navtej Singh Johar v. Union of India (2018), which held it unconstitutional insofar as it criminalised consensual conduct between adults while leaving the rest of the provision standing.</w:t>
      </w:r>
    </w:p>
    <w:p>
      <w:pPr>
        <w:pStyle w:val="Normal"/>
        <w:spacing w:lineRule="auto" w:line="480"/>
        <w:ind w:firstLine="720"/>
        <w:rPr/>
      </w:pPr>
      <w:r>
        <w:rPr/>
        <w:t>The instruments differ in exactly the way the second factor predicts. The Criminal Tribes Act operated by naming communities: its logic was visible on its face, its targets were identifiable, and the injustice was legible to the independent state as something done to a group of Indians by a colonial administration, so that the formal designation was shed quickly even where the practice was not. Section 377 named no one. Its universality made it appear as a general moral proposition rather than an imposition on anyone in particular, and a general moral proposition is not obviously colonial.</w:t>
      </w:r>
    </w:p>
    <w:p>
      <w:pPr>
        <w:pStyle w:val="Normal"/>
        <w:spacing w:lineRule="auto" w:line="480"/>
        <w:ind w:firstLine="720"/>
        <w:rPr/>
      </w:pPr>
      <w:r>
        <w:rPr/>
        <w:t>That moral proposition resulted in a five-judge Constitution Bench of the Indian Supreme Court, on 17 October 2023, dismissing petitions seeking marriage equality for same-sex couples, holding that the Constitution recognises no fundamental right to marry and leaving any recognition of same-sex unions to a Parliament with no disposition to legislate on it.</w:t>
      </w:r>
      <w:r>
        <w:rPr>
          <w:vertAlign w:val="superscript"/>
        </w:rPr>
        <w:t>102</w:t>
      </w:r>
      <w:r>
        <w:rPr/>
        <w:t xml:space="preserve"> Evidently, the moral architecture Section 377 had spent 158 years constructing remained despite the 2018 judgement. Justice Indu Malhotra, concurring in Navtej Singh Johar, </w:t>
      </w:r>
      <w:r>
        <w:rPr/>
        <w:t>wrote that "History owes an apology to the members of this community and their families" for the delay in redressing the ignominy and ostracism they had suffered.</w:t>
      </w:r>
      <w:r>
        <w:rPr>
          <w:vertAlign w:val="superscript"/>
        </w:rPr>
        <w:t>103</w:t>
      </w:r>
      <w:r>
        <w:rPr/>
        <w:t xml:space="preserve"> The 2018 judgement removed a barrier but could not undo the social norms that Section 377 had already generated.</w:t>
      </w:r>
    </w:p>
    <w:p>
      <w:pPr>
        <w:pStyle w:val="Normal"/>
        <w:spacing w:lineRule="auto" w:line="480"/>
        <w:ind w:firstLine="720"/>
        <w:rPr/>
      </w:pPr>
      <w:r>
        <w:rPr/>
        <w:t>The provision has since left Indian law altogether. The Bharatiya Nyaya Sanhita, which replaced the Indian Penal Code on 1 July 2024, contains no equivalent of Section 377. The omission removed the consensual conduct Navtej had already protected, and it removed as well the non-consensual acts and the bestiality provision that the Court had expressly left standing. It was made against the recommendation of the Parliamentary Standing Committee on Home Affairs, which had advised in November 2023 that the provision be retained for those remaining purposes.</w:t>
      </w:r>
      <w:r>
        <w:rPr>
          <w:vertAlign w:val="superscript"/>
        </w:rPr>
        <w:t>104</w:t>
      </w:r>
      <w:r>
        <w:rPr/>
        <w:t xml:space="preserve"> The result is a protective gap, since adult men and transgender persons subjected to sexual violence now have no equivalent recourse in the new code.</w:t>
      </w:r>
    </w:p>
    <w:p>
      <w:pPr>
        <w:pStyle w:val="Normal"/>
        <w:spacing w:lineRule="auto" w:line="480"/>
        <w:ind w:firstLine="720"/>
        <w:rPr/>
      </w:pPr>
      <w:r>
        <w:rPr/>
        <w:t>This is the pattern of 1947 running in reverse. The Constituent Assembly carried the section forward with the rest of the code, without a word of debate; Parliament has now removed it without any public reckoning with what it was, where it came from, or what it had been made to mean. The accounting that did occur happened elsewhere - in the Law Commission, which recommended keeping the section in 1971 and deleting it in 2000, and in the courts between 2009 and 2018 - and never in the legislature that held the power of repeal. A statute that entered Indian law without legislative scrutiny has left it the same way, and the moral settlement it installed is untouched by either event. That the marriage judgment of 2023 was delivered while the provision was being quietly dropped from the code is the clearest evidence available that the two are separable.</w:t>
      </w:r>
    </w:p>
    <w:p>
      <w:pPr>
        <w:pStyle w:val="Heading1"/>
        <w:spacing w:before="360" w:after="200"/>
        <w:rPr/>
      </w:pPr>
      <w:r>
        <w:rPr/>
        <w:t>Conclusion</w:t>
      </w:r>
    </w:p>
    <w:p>
      <w:pPr>
        <w:pStyle w:val="Normal"/>
        <w:spacing w:lineRule="auto" w:line="480"/>
        <w:rPr/>
      </w:pPr>
      <w:r>
        <w:rPr/>
        <w:t>In 2018, the Prime Minister of the country whose legal tradition supplied Section 377's language told Commonwealth leaders that she deeply regretted both that such laws had been introduced and the legacy they had left.</w:t>
      </w:r>
      <w:r>
        <w:rPr>
          <w:vertAlign w:val="superscript"/>
        </w:rPr>
        <w:t>105</w:t>
      </w:r>
      <w:r>
        <w:rPr/>
        <w:t xml:space="preserve"> England and Wales had decriminalised in 1967, legalised civil partnerships in 2004, and recognised same-sex marriage in 2014 - a forty-seven-year arc from partial decriminalisation to full legal equality - and in 2017 Parliament pardoned men convicted under those laws in England and Wales. The country on which Section 377 was imposed is still debating whether its provisions reflected an indigenous Indian moral tradition.</w:t>
      </w:r>
    </w:p>
    <w:p>
      <w:pPr>
        <w:pStyle w:val="Normal"/>
        <w:spacing w:lineRule="auto" w:line="480"/>
        <w:ind w:firstLine="720"/>
        <w:rPr/>
      </w:pPr>
      <w:r>
        <w:rPr/>
        <w:t>That is the political paradox the introduction identified. The provision drew its definition of nature from Latin theology, was enacted without an Indian constituency demanding it, and was accompanied by an apparatus designed to produce the consensus it presupposed. Britain has moved on from the tradition it created. India has not, because the tradition was not merely imposed through law but installed through the architecture of moral formation: the curricula, the surveillance apparatus, the Indian reformers who came to share its premises, and the judicial expansion that gave the theological framework operational life in Indian courts sixty-five years after enactment.</w:t>
      </w:r>
    </w:p>
    <w:p>
      <w:pPr>
        <w:pStyle w:val="Normal"/>
        <w:spacing w:lineRule="auto" w:line="480"/>
        <w:ind w:firstLine="720"/>
        <w:rPr/>
      </w:pPr>
      <w:r>
        <w:rPr/>
        <w:t>Three constraints define the evidentiary basis of that claim. First, the three-factor framework is constructed from and applied to a single colonial context; its generalisability is a hypothesis. A reader is entitled to ask whether the framework would survive a colonial context where the documentary record produced a different result - criminal prohibition chosen without racial boundary maintenance as a primary driver, or administrative regulation chosen despite all three factors scoring toward prohibition. Second, almost every primary source in this paper was produced by the colonial state. The governed population's own understanding of the laws it lived under is largely unrecoverable from the archival record, and the argument that no Indian reformist movement demanded criminalisation of same-sex conduct is an argument from absence. The absence of a record is not definitive evidence of the absence of a phenomenon. As Anjali Arondekar has argued, the colonial archive of sexuality cannot simply be mined for the subjects it suppressed; the argument here reads its silences as evidence of how the state worked, not of what Indians felt.</w:t>
      </w:r>
      <w:r>
        <w:rPr>
          <w:vertAlign w:val="superscript"/>
        </w:rPr>
        <w:t>106</w:t>
      </w:r>
      <w:r>
        <w:rPr/>
        <w:t xml:space="preserve"> Third, no colonial administrator articulated the three-factor framework. It is recovered from the pattern of decisions across multiple cases, and the claim is that it reconstructs how colonial administrators reasoned, not that they consciously applied it.</w:t>
      </w:r>
    </w:p>
    <w:p>
      <w:pPr>
        <w:pStyle w:val="Normal"/>
        <w:spacing w:lineRule="auto" w:line="480"/>
        <w:ind w:firstLine="720"/>
        <w:rPr/>
      </w:pPr>
      <w:r>
        <w:rPr/>
        <w:t>Each of these constraints suggests the work that follows most directly. The comparative application of the framework to Nigeria's codes, Kenya's Penal Code of 1930 and British Malaya's Penal Code of 1936 would allow it to be tested outside India, though these codes descend from the Indian one or from codes drafted with it in view, so that any test must separate a governance logic from a transplanted template. If the same scoring configuration appears in Southeast Asian and East African colonial governance despite precolonial sexual traditions bearing no resemblance to each other or to India's, the framework's claim to describe a colonial governance constant rather than an India-specific pattern becomes substantially stronger. The third factor's three modes are also now precisely askable across other domains of colonial legal governance beyond sexuality; child marriage governance, where an existing Indian reformist constituency existed, and female infanticide governance, where it did not, together suggest that the constructed-consensus mode was not unique to sexuality. And the same questions could be put to the twenty-nine Commonwealth states that still criminalise same-sex conduct, to ask whether the factors that sustained the prohibition in India sustain it there.</w:t>
      </w:r>
      <w:r>
        <w:rPr>
          <w:vertAlign w:val="superscript"/>
        </w:rPr>
        <w:t>107</w:t>
      </w:r>
    </w:p>
    <w:p>
      <w:pPr>
        <w:pStyle w:val="Normal"/>
        <w:spacing w:lineRule="auto" w:line="480"/>
        <w:ind w:firstLine="720"/>
        <w:rPr/>
      </w:pPr>
      <w:r>
        <w:rPr/>
        <w:t>Repealing the statute only addresses the law. Dismantling that architecture requires systemically reversing the social facets it altered.</w:t>
      </w:r>
    </w:p>
    <w:p>
      <w:pPr>
        <w:pStyle w:val="Normal"/>
        <w:rPr/>
      </w:pPr>
      <w:r>
        <w:rPr/>
      </w:r>
      <w:r>
        <w:br w:type="page"/>
      </w:r>
    </w:p>
    <w:p>
      <w:pPr>
        <w:pStyle w:val="Heading1"/>
        <w:spacing w:before="0" w:after="200"/>
        <w:rPr/>
      </w:pPr>
      <w:r>
        <w:rPr/>
        <w:t>Endnotes</w:t>
      </w:r>
    </w:p>
    <w:p>
      <w:pPr>
        <w:pStyle w:val="Normal"/>
        <w:spacing w:before="0" w:after="120"/>
        <w:ind w:hanging="576" w:left="576"/>
        <w:rPr/>
      </w:pPr>
      <w:r>
        <w:rPr/>
        <w:t xml:space="preserve">1 Government of India, affidavit filed before the Supreme Court of India in </w:t>
      </w:r>
      <w:r>
        <w:rPr>
          <w:i/>
          <w:iCs/>
        </w:rPr>
        <w:t>Supriyo</w:t>
      </w:r>
      <w:r>
        <w:rPr/>
        <w:t xml:space="preserve"> @ </w:t>
      </w:r>
      <w:r>
        <w:rPr>
          <w:i/>
          <w:iCs/>
        </w:rPr>
        <w:t>Supriya Chakraborty v. Union of India</w:t>
      </w:r>
      <w:r>
        <w:rPr/>
        <w:t>, April 2023. A separate affidavit filed in March 2023 argued that same-sex partnerships were not comparable to the Indian family unit.</w:t>
      </w:r>
    </w:p>
    <w:p>
      <w:pPr>
        <w:pStyle w:val="Normal"/>
        <w:spacing w:before="0" w:after="120"/>
        <w:ind w:hanging="576" w:left="576"/>
        <w:rPr/>
      </w:pPr>
      <w:r>
        <w:rPr/>
        <w:t>2 Constitution of the Republic of South Africa Act 200 of 1993 (interim Constitution), s. 8(2); Constitution of the Republic of South Africa, 1996, s. 9(3).</w:t>
      </w:r>
    </w:p>
    <w:p>
      <w:pPr>
        <w:pStyle w:val="Normal"/>
        <w:spacing w:before="0" w:after="120"/>
        <w:ind w:hanging="576" w:left="576"/>
        <w:rPr/>
      </w:pPr>
      <w:r>
        <w:rPr/>
        <w:t xml:space="preserve">3 On the mobilisation of this argument by the National Coalition for Gay and Lesbian Equality and by activists including Zackie Achmat, in response to the charge that homosexuality was un-African advanced most publicly at the Zimbabwe International Book Fair in Harare in 1995, see Marc Epprecht, </w:t>
      </w:r>
      <w:r>
        <w:rPr>
          <w:i/>
          <w:iCs/>
        </w:rPr>
        <w:t>Hungochani: The History of a Dissident Sexuality in Southern Africa</w:t>
      </w:r>
      <w:r>
        <w:rPr/>
        <w:t xml:space="preserve"> (Montreal: McGill-Queen's University Press, 2004); and Marc Epprecht, </w:t>
      </w:r>
      <w:r>
        <w:rPr>
          <w:i/>
          <w:iCs/>
        </w:rPr>
        <w:t>Heterosexual Africa? The History of an Idea from the Age of Exploration to the Age of AIDS</w:t>
      </w:r>
      <w:r>
        <w:rPr/>
        <w:t xml:space="preserve"> (Athens: Ohio University Press, 2008).</w:t>
      </w:r>
    </w:p>
    <w:p>
      <w:pPr>
        <w:pStyle w:val="Normal"/>
        <w:spacing w:before="0" w:after="120"/>
        <w:ind w:hanging="576" w:left="576"/>
        <w:rPr/>
      </w:pPr>
      <w:r>
        <w:rPr/>
        <w:t xml:space="preserve">4 </w:t>
      </w:r>
      <w:r>
        <w:rPr>
          <w:i/>
          <w:iCs/>
        </w:rPr>
        <w:t>Kāmasūtra</w:t>
      </w:r>
      <w:r>
        <w:rPr/>
        <w:t xml:space="preserve"> of Vātsyāyana, trans. Wendy Doniger and Sudhir Kakar (Oxford: Oxford University Press, 2002).</w:t>
      </w:r>
    </w:p>
    <w:p>
      <w:pPr>
        <w:pStyle w:val="Normal"/>
        <w:spacing w:before="0" w:after="120"/>
        <w:ind w:hanging="576" w:left="576"/>
        <w:rPr/>
      </w:pPr>
      <w:r>
        <w:rPr/>
        <w:t>5 Ibid., Book II, Chapter 9.</w:t>
      </w:r>
    </w:p>
    <w:p>
      <w:pPr>
        <w:pStyle w:val="Normal"/>
        <w:spacing w:before="0" w:after="120"/>
        <w:ind w:hanging="576" w:left="576"/>
        <w:rPr/>
      </w:pPr>
      <w:r>
        <w:rPr/>
        <w:t xml:space="preserve">6 Richard F. Burton, "Terminal Essay," in </w:t>
      </w:r>
      <w:r>
        <w:rPr>
          <w:i/>
          <w:iCs/>
        </w:rPr>
        <w:t>The Book of the Thousand Nights and a Night</w:t>
      </w:r>
      <w:r>
        <w:rPr/>
        <w:t xml:space="preserve"> (Benares: Kamashastra Society, 1886), vol. 10. Burton describes the zone as geographical and climatic rather than racial.</w:t>
      </w:r>
    </w:p>
    <w:p>
      <w:pPr>
        <w:pStyle w:val="Normal"/>
        <w:spacing w:before="0" w:after="120"/>
        <w:ind w:hanging="576" w:left="576"/>
        <w:rPr/>
      </w:pPr>
      <w:r>
        <w:rPr/>
        <w:t xml:space="preserve">7 Criminal Law (India) Act 1828 (9 Geo. 4, c. 74), s. 63; Everett K. Rowson, "Homosexuality ii. In Islamic Law," </w:t>
      </w:r>
      <w:r>
        <w:rPr>
          <w:i/>
          <w:iCs/>
        </w:rPr>
        <w:t>Encyclopaedia Iranica</w:t>
      </w:r>
      <w:r>
        <w:rPr/>
        <w:t>, 15 December 2004. Both points are developed below.</w:t>
      </w:r>
    </w:p>
    <w:p>
      <w:pPr>
        <w:pStyle w:val="Normal"/>
        <w:spacing w:before="0" w:after="120"/>
        <w:ind w:hanging="576" w:left="576"/>
        <w:rPr/>
      </w:pPr>
      <w:r>
        <w:rPr/>
        <w:t xml:space="preserve">8 Ruth Vanita and Saleem Kidwai, eds., </w:t>
      </w:r>
      <w:r>
        <w:rPr>
          <w:i/>
          <w:iCs/>
        </w:rPr>
        <w:t>Same-Sex Love in India: Readings from Literature and History</w:t>
      </w:r>
      <w:r>
        <w:rPr/>
        <w:t xml:space="preserve"> (New York: St. Martin's Press, 2000).</w:t>
      </w:r>
    </w:p>
    <w:p>
      <w:pPr>
        <w:pStyle w:val="Normal"/>
        <w:spacing w:before="0" w:after="120"/>
        <w:ind w:hanging="576" w:left="576"/>
        <w:rPr/>
      </w:pPr>
      <w:r>
        <w:rPr/>
        <w:t xml:space="preserve">9 Rohit K. Dasgupta, "Queer Sexuality: A Cultural Narrative of India's Historical Archive," </w:t>
      </w:r>
      <w:r>
        <w:rPr>
          <w:i/>
          <w:iCs/>
        </w:rPr>
        <w:t>Rupkatha Journal on Interdisciplinary Studies in Humanities</w:t>
      </w:r>
      <w:r>
        <w:rPr/>
        <w:t xml:space="preserve"> 3, no. 4 (2011): 651-70.</w:t>
      </w:r>
    </w:p>
    <w:p>
      <w:pPr>
        <w:pStyle w:val="Normal"/>
        <w:spacing w:before="0" w:after="120"/>
        <w:ind w:hanging="576" w:left="576"/>
        <w:rPr/>
      </w:pPr>
      <w:r>
        <w:rPr/>
        <w:t xml:space="preserve">10 A.K. Ramanujan, trans., </w:t>
      </w:r>
      <w:r>
        <w:rPr>
          <w:i/>
          <w:iCs/>
        </w:rPr>
        <w:t>Speaking of Śiva</w:t>
      </w:r>
      <w:r>
        <w:rPr/>
        <w:t xml:space="preserve"> (Harmondsworth: Penguin, 1973).</w:t>
      </w:r>
    </w:p>
    <w:p>
      <w:pPr>
        <w:pStyle w:val="Normal"/>
        <w:spacing w:before="0" w:after="120"/>
        <w:ind w:hanging="576" w:left="576"/>
        <w:rPr/>
      </w:pPr>
      <w:r>
        <w:rPr/>
        <w:t xml:space="preserve">11 Devdutt Pattanaik, </w:t>
      </w:r>
      <w:r>
        <w:rPr>
          <w:i/>
          <w:iCs/>
        </w:rPr>
        <w:t>Shikhandi and Other Tales They Don't Tell You</w:t>
      </w:r>
      <w:r>
        <w:rPr/>
        <w:t xml:space="preserve"> (New Delhi: Zubaan/Penguin, 2014).</w:t>
      </w:r>
    </w:p>
    <w:p>
      <w:pPr>
        <w:pStyle w:val="Normal"/>
        <w:spacing w:before="0" w:after="120"/>
        <w:ind w:hanging="576" w:left="576"/>
        <w:rPr/>
      </w:pPr>
      <w:r>
        <w:rPr/>
        <w:t xml:space="preserve">12 Devangana Desai, </w:t>
      </w:r>
      <w:r>
        <w:rPr>
          <w:i/>
          <w:iCs/>
        </w:rPr>
        <w:t>Erotic Sculpture of India: A Socio-Cultural Study</w:t>
      </w:r>
      <w:r>
        <w:rPr/>
        <w:t xml:space="preserve"> (New Delhi: Tata McGraw-Hill, 1975).</w:t>
      </w:r>
    </w:p>
    <w:p>
      <w:pPr>
        <w:pStyle w:val="Normal"/>
        <w:spacing w:before="0" w:after="120"/>
        <w:ind w:hanging="576" w:left="576"/>
        <w:rPr/>
      </w:pPr>
      <w:r>
        <w:rPr/>
        <w:t xml:space="preserve">13 Muzaffar Alam, </w:t>
      </w:r>
      <w:r>
        <w:rPr>
          <w:i/>
          <w:iCs/>
        </w:rPr>
        <w:t>The Languages of Political Islam: India 1200-1800</w:t>
      </w:r>
      <w:r>
        <w:rPr/>
        <w:t xml:space="preserve"> (Chicago: University of Chicago Press, 2004).</w:t>
      </w:r>
    </w:p>
    <w:p>
      <w:pPr>
        <w:pStyle w:val="Normal"/>
        <w:spacing w:before="0" w:after="120"/>
        <w:ind w:hanging="576" w:left="576"/>
        <w:rPr/>
      </w:pPr>
      <w:r>
        <w:rPr/>
        <w:t xml:space="preserve">14 On Sarmad Kashani and Abhai Chand, see the Perso-Urdu materials collected in Vanita and Kidwai, </w:t>
      </w:r>
      <w:r>
        <w:rPr>
          <w:i/>
          <w:iCs/>
        </w:rPr>
        <w:t>Same-Sex Love in India</w:t>
      </w:r>
      <w:r>
        <w:rPr/>
        <w:t>, Part II.</w:t>
      </w:r>
    </w:p>
    <w:p>
      <w:pPr>
        <w:pStyle w:val="Normal"/>
        <w:spacing w:before="0" w:after="120"/>
        <w:ind w:hanging="576" w:left="576"/>
        <w:rPr/>
      </w:pPr>
      <w:r>
        <w:rPr/>
        <w:t xml:space="preserve">15 Scott Kugle, </w:t>
      </w:r>
      <w:r>
        <w:rPr>
          <w:i/>
          <w:iCs/>
        </w:rPr>
        <w:t>Sufis and Saints' Bodies: Mysticism, Corporeality, and Sacred Power in Islam</w:t>
      </w:r>
      <w:r>
        <w:rPr/>
        <w:t xml:space="preserve"> (Chapel Hill: University of North Carolina Press, 2007).</w:t>
      </w:r>
    </w:p>
    <w:p>
      <w:pPr>
        <w:pStyle w:val="Normal"/>
        <w:spacing w:before="0" w:after="120"/>
        <w:ind w:hanging="576" w:left="576"/>
        <w:rPr/>
      </w:pPr>
      <w:r>
        <w:rPr/>
        <w:t xml:space="preserve">16 Ruth Vanita, </w:t>
      </w:r>
      <w:r>
        <w:rPr>
          <w:i/>
          <w:iCs/>
        </w:rPr>
        <w:t>Gender, Sex and the City: Urdu Rekhtī Poetry in India, 1780-1870</w:t>
      </w:r>
      <w:r>
        <w:rPr/>
        <w:t xml:space="preserve"> (New Delhi: Orient BlackSwan, 2012).</w:t>
      </w:r>
    </w:p>
    <w:p>
      <w:pPr>
        <w:pStyle w:val="Normal"/>
        <w:spacing w:before="0" w:after="120"/>
        <w:ind w:hanging="576" w:left="576"/>
        <w:rPr/>
      </w:pPr>
      <w:r>
        <w:rPr/>
        <w:t xml:space="preserve">17 Zahir-ud-din Muhammad Babur, </w:t>
      </w:r>
      <w:r>
        <w:rPr>
          <w:i/>
          <w:iCs/>
        </w:rPr>
        <w:t>The Baburnama: Memoirs of Babur, Prince and Emperor</w:t>
      </w:r>
      <w:r>
        <w:rPr/>
        <w:t>, trans. Wheeler M. Thackston (New York: Modern Library, 2002).</w:t>
      </w:r>
    </w:p>
    <w:p>
      <w:pPr>
        <w:pStyle w:val="Normal"/>
        <w:spacing w:before="0" w:after="120"/>
        <w:ind w:hanging="576" w:left="576"/>
        <w:rPr/>
      </w:pPr>
      <w:r>
        <w:rPr/>
        <w:t xml:space="preserve">18 </w:t>
      </w:r>
      <w:r>
        <w:rPr>
          <w:i/>
          <w:iCs/>
        </w:rPr>
        <w:t>Fatawa-e-Alamgiri</w:t>
      </w:r>
      <w:r>
        <w:rPr/>
        <w:t>, compiled under Aurangzeb, c. 1667-1675; Rowson, "Homosexuality ii."</w:t>
      </w:r>
    </w:p>
    <w:p>
      <w:pPr>
        <w:pStyle w:val="Normal"/>
        <w:spacing w:before="0" w:after="120"/>
        <w:ind w:hanging="576" w:left="576"/>
        <w:rPr/>
      </w:pPr>
      <w:r>
        <w:rPr/>
        <w:t xml:space="preserve">19 Scott Kugle, "Sexuality, Diversity, and Ethics in the Agenda of Progressive Muslims," in </w:t>
      </w:r>
      <w:r>
        <w:rPr>
          <w:i/>
          <w:iCs/>
        </w:rPr>
        <w:t>Progressive Muslims: On Justice, Gender, and Pluralism</w:t>
      </w:r>
      <w:r>
        <w:rPr/>
        <w:t>, ed. Omid Safi (Oxford: Oneworld, 2003).</w:t>
      </w:r>
    </w:p>
    <w:p>
      <w:pPr>
        <w:pStyle w:val="Normal"/>
        <w:spacing w:before="0" w:after="120"/>
        <w:ind w:hanging="576" w:left="576"/>
        <w:rPr/>
      </w:pPr>
      <w:r>
        <w:rPr/>
        <w:t xml:space="preserve">20 Kautilya, </w:t>
      </w:r>
      <w:r>
        <w:rPr>
          <w:i/>
          <w:iCs/>
        </w:rPr>
        <w:t>The Arthashastra</w:t>
      </w:r>
      <w:r>
        <w:rPr/>
        <w:t>, ed. and trans. L.N. Rangarajan (New Delhi: Penguin, 1992), Book IV. The text was identified by R. Shamasastry in 1905.</w:t>
      </w:r>
    </w:p>
    <w:p>
      <w:pPr>
        <w:pStyle w:val="Normal"/>
        <w:spacing w:before="0" w:after="120"/>
        <w:ind w:hanging="576" w:left="576"/>
        <w:rPr/>
      </w:pPr>
      <w:r>
        <w:rPr/>
        <w:t xml:space="preserve">21 Hartmut Scharfe, </w:t>
      </w:r>
      <w:r>
        <w:rPr>
          <w:i/>
          <w:iCs/>
        </w:rPr>
        <w:t>Education in Ancient India</w:t>
      </w:r>
      <w:r>
        <w:rPr/>
        <w:t xml:space="preserve"> (Leiden: Brill, 2002); William Adam, </w:t>
      </w:r>
      <w:r>
        <w:rPr>
          <w:i/>
          <w:iCs/>
        </w:rPr>
        <w:t>Reports on the State of Education in Bengal (1835 and 1838)</w:t>
      </w:r>
      <w:r>
        <w:rPr/>
        <w:t>, ed. Anathnath Basu (Calcutta: University of Calcutta, 1941).</w:t>
      </w:r>
    </w:p>
    <w:p>
      <w:pPr>
        <w:pStyle w:val="Normal"/>
        <w:spacing w:before="0" w:after="120"/>
        <w:ind w:hanging="576" w:left="576"/>
        <w:rPr/>
      </w:pPr>
      <w:r>
        <w:rPr/>
        <w:t xml:space="preserve">22 Jessica Hinchy, </w:t>
      </w:r>
      <w:r>
        <w:rPr>
          <w:i/>
          <w:iCs/>
        </w:rPr>
        <w:t>Governing Gender and Sexuality in Colonial India: The Hijra, c.1850-1900</w:t>
      </w:r>
      <w:r>
        <w:rPr/>
        <w:t xml:space="preserve"> (Cambridge: Cambridge University Press, 2019).</w:t>
      </w:r>
    </w:p>
    <w:p>
      <w:pPr>
        <w:pStyle w:val="Normal"/>
        <w:spacing w:before="0" w:after="120"/>
        <w:ind w:hanging="576" w:left="576"/>
        <w:rPr/>
      </w:pPr>
      <w:r>
        <w:rPr/>
        <w:t>23 Ibid. Documented roles include provincial governorships and custodianship of the imperial harem's treasury; the office of the imperial Diwan was distinct and was not held by eunuchs.</w:t>
      </w:r>
    </w:p>
    <w:p>
      <w:pPr>
        <w:pStyle w:val="Normal"/>
        <w:spacing w:before="0" w:after="120"/>
        <w:ind w:hanging="576" w:left="576"/>
        <w:rPr/>
      </w:pPr>
      <w:r>
        <w:rPr/>
        <w:t>24 Queen Victoria, Proclamation to the Princes, Chiefs and People of India, 1 November 1858.</w:t>
      </w:r>
    </w:p>
    <w:p>
      <w:pPr>
        <w:pStyle w:val="Normal"/>
        <w:spacing w:before="0" w:after="120"/>
        <w:ind w:hanging="576" w:left="576"/>
        <w:rPr/>
      </w:pPr>
      <w:r>
        <w:rPr/>
        <w:t xml:space="preserve">25 Nicholas B. Dirks, </w:t>
      </w:r>
      <w:r>
        <w:rPr>
          <w:i/>
          <w:iCs/>
        </w:rPr>
        <w:t>Castes of Mind: Colonialism and the Making of Modern India</w:t>
      </w:r>
      <w:r>
        <w:rPr/>
        <w:t xml:space="preserve"> (Princeton: Princeton University Press, 2001).</w:t>
      </w:r>
    </w:p>
    <w:p>
      <w:pPr>
        <w:pStyle w:val="Normal"/>
        <w:spacing w:before="0" w:after="120"/>
        <w:ind w:hanging="576" w:left="576"/>
        <w:rPr/>
      </w:pPr>
      <w:r>
        <w:rPr/>
        <w:t xml:space="preserve">26 Criminal Law (India) Act 1828, s. 63, which replaced the Buggery Act 1533 for the Crown's courts in India; English law kept the death penalty until the Offences against the Person Act 1861. The history is set out in </w:t>
      </w:r>
      <w:r>
        <w:rPr>
          <w:i/>
          <w:iCs/>
        </w:rPr>
        <w:t>Suresh Kumar Koushal v. Naz Foundation</w:t>
      </w:r>
      <w:r>
        <w:rPr/>
        <w:t xml:space="preserve"> (2014) 1 SCC 1.</w:t>
      </w:r>
    </w:p>
    <w:p>
      <w:pPr>
        <w:pStyle w:val="Normal"/>
        <w:spacing w:before="0" w:after="120"/>
        <w:ind w:hanging="576" w:left="576"/>
        <w:rPr/>
      </w:pPr>
      <w:r>
        <w:rPr/>
        <w:t xml:space="preserve">27 Indian Law Commissioners, remarks on clauses 361 and 362, in </w:t>
      </w:r>
      <w:r>
        <w:rPr>
          <w:i/>
          <w:iCs/>
        </w:rPr>
        <w:t>The Indian Penal Code, as Originally Framed in 1837, with Notes by T.B. Macaulay, J.M. Macleod, G.W. Anderson, and F. Millett, and the First and Second Reports Thereon, Dated 23rd July 1846 and 24th June 1847, by C.H. Cameron and D. Eliott</w:t>
      </w:r>
      <w:r>
        <w:rPr/>
        <w:t xml:space="preserve"> (Madras: Higginbotham, 1888).</w:t>
      </w:r>
    </w:p>
    <w:p>
      <w:pPr>
        <w:pStyle w:val="Normal"/>
        <w:spacing w:before="0" w:after="120"/>
        <w:ind w:hanging="576" w:left="576"/>
        <w:rPr/>
      </w:pPr>
      <w:r>
        <w:rPr/>
        <w:t>28 Ibid., clauses 361 and 362.</w:t>
      </w:r>
    </w:p>
    <w:p>
      <w:pPr>
        <w:pStyle w:val="Normal"/>
        <w:spacing w:before="0" w:after="120"/>
        <w:ind w:hanging="576" w:left="576"/>
        <w:rPr/>
      </w:pPr>
      <w:r>
        <w:rPr/>
        <w:t xml:space="preserve">29 </w:t>
      </w:r>
      <w:r>
        <w:rPr>
          <w:i/>
          <w:iCs/>
        </w:rPr>
        <w:t>Navtej Singh Johar v. Union of India</w:t>
      </w:r>
      <w:r>
        <w:rPr/>
        <w:t xml:space="preserve"> (2018) 10 SCC 1, per Nariman J, tracing the draft through the Law Commissioners' Second Report of 24 June 1847 and the revised edition of 1851 to Peacock's committee, and observing that it is unclear how the change from touching to "carnal intercourse against the order of nature" came about. The reports are printed in </w:t>
      </w:r>
      <w:r>
        <w:rPr>
          <w:i/>
          <w:iCs/>
        </w:rPr>
        <w:t>The Indian Penal Code, as Originally Framed in 1837</w:t>
      </w:r>
      <w:r>
        <w:rPr/>
        <w:t>.</w:t>
      </w:r>
    </w:p>
    <w:p>
      <w:pPr>
        <w:pStyle w:val="Normal"/>
        <w:spacing w:before="0" w:after="120"/>
        <w:ind w:hanging="576" w:left="576"/>
        <w:rPr/>
      </w:pPr>
      <w:r>
        <w:rPr/>
        <w:t>30 Indian Penal Code (Act XLV of 1860), s. 377. The 1860 text prescribed "transportation for life"; "imprisonment for life" was substituted by Act 26 of 1955, s. 117 and the Schedule, with effect from 1 January 1956.</w:t>
      </w:r>
    </w:p>
    <w:p>
      <w:pPr>
        <w:pStyle w:val="Normal"/>
        <w:spacing w:before="0" w:after="120"/>
        <w:ind w:hanging="576" w:left="576"/>
        <w:rPr/>
      </w:pPr>
      <w:r>
        <w:rPr/>
        <w:t xml:space="preserve">31 Alok Gupta, "Section 377 and the Dignity of Indian Homosexuals," </w:t>
      </w:r>
      <w:r>
        <w:rPr>
          <w:i/>
          <w:iCs/>
        </w:rPr>
        <w:t>Economic and Political Weekly</w:t>
      </w:r>
      <w:r>
        <w:rPr/>
        <w:t xml:space="preserve"> 41, no. 46 (2006): 4815-23.</w:t>
      </w:r>
    </w:p>
    <w:p>
      <w:pPr>
        <w:pStyle w:val="Normal"/>
        <w:spacing w:before="0" w:after="120"/>
        <w:ind w:hanging="576" w:left="576"/>
        <w:rPr/>
      </w:pPr>
      <w:r>
        <w:rPr/>
        <w:t xml:space="preserve">32 Edward Coke, </w:t>
      </w:r>
      <w:r>
        <w:rPr>
          <w:i/>
          <w:iCs/>
        </w:rPr>
        <w:t>The Third Part of the Institutes of the Laws of England</w:t>
      </w:r>
      <w:r>
        <w:rPr/>
        <w:t xml:space="preserve"> (London, 1644), ch. 10.</w:t>
      </w:r>
    </w:p>
    <w:p>
      <w:pPr>
        <w:pStyle w:val="Normal"/>
        <w:spacing w:before="0" w:after="120"/>
        <w:ind w:hanging="576" w:left="576"/>
        <w:rPr/>
      </w:pPr>
      <w:r>
        <w:rPr/>
        <w:t>33 Buggery Act 1533 (25 Hen. 8 c. 6).</w:t>
      </w:r>
    </w:p>
    <w:p>
      <w:pPr>
        <w:pStyle w:val="Normal"/>
        <w:spacing w:before="0" w:after="120"/>
        <w:ind w:hanging="576" w:left="576"/>
        <w:rPr/>
      </w:pPr>
      <w:r>
        <w:rPr/>
        <w:t xml:space="preserve">34 Human Rights Watch, </w:t>
      </w:r>
      <w:r>
        <w:rPr>
          <w:i/>
          <w:iCs/>
        </w:rPr>
        <w:t>This Alien Legacy: The Origins of "Sodomy" Laws in British Colonialism</w:t>
      </w:r>
      <w:r>
        <w:rPr/>
        <w:t>, written by Alok Gupta (New York: Human Rights Watch, 2008), 5.</w:t>
      </w:r>
    </w:p>
    <w:p>
      <w:pPr>
        <w:pStyle w:val="Normal"/>
        <w:spacing w:before="0" w:after="120"/>
        <w:ind w:hanging="576" w:left="576"/>
        <w:rPr/>
      </w:pPr>
      <w:r>
        <w:rPr/>
        <w:t xml:space="preserve">35 Hinchy, </w:t>
      </w:r>
      <w:r>
        <w:rPr>
          <w:i/>
          <w:iCs/>
        </w:rPr>
        <w:t>Governing Gender and Sexuality</w:t>
      </w:r>
      <w:r>
        <w:rPr/>
        <w:t>.</w:t>
      </w:r>
    </w:p>
    <w:p>
      <w:pPr>
        <w:pStyle w:val="Normal"/>
        <w:spacing w:before="0" w:after="120"/>
        <w:ind w:hanging="576" w:left="576"/>
        <w:rPr/>
      </w:pPr>
      <w:r>
        <w:rPr/>
        <w:t>36 Criminal Tribes Act 1871 (Act XXVII of 1871), Part II, ss. 24-27.</w:t>
      </w:r>
    </w:p>
    <w:p>
      <w:pPr>
        <w:pStyle w:val="Normal"/>
        <w:spacing w:before="0" w:after="120"/>
        <w:ind w:hanging="576" w:left="576"/>
        <w:rPr/>
      </w:pPr>
      <w:r>
        <w:rPr/>
        <w:t xml:space="preserve">37 On the policy of gradual extirpation and its articulation by provincial administrators in the North-Western Provinces, see Hinchy, </w:t>
      </w:r>
      <w:r>
        <w:rPr>
          <w:i/>
          <w:iCs/>
        </w:rPr>
        <w:t>Governing Gender and Sexuality</w:t>
      </w:r>
      <w:r>
        <w:rPr/>
        <w:t>, ch. 1.</w:t>
      </w:r>
    </w:p>
    <w:p>
      <w:pPr>
        <w:pStyle w:val="Normal"/>
        <w:spacing w:before="0" w:after="120"/>
        <w:ind w:hanging="576" w:left="576"/>
        <w:rPr/>
      </w:pPr>
      <w:r>
        <w:rPr/>
        <w:t xml:space="preserve">38 Hinchy, </w:t>
      </w:r>
      <w:r>
        <w:rPr>
          <w:i/>
          <w:iCs/>
        </w:rPr>
        <w:t>Governing Gender and Sexuality</w:t>
      </w:r>
      <w:r>
        <w:rPr/>
        <w:t>; Criminal Tribes Act 1911 (Act III of 1911).</w:t>
      </w:r>
    </w:p>
    <w:p>
      <w:pPr>
        <w:pStyle w:val="Normal"/>
        <w:spacing w:before="0" w:after="120"/>
        <w:ind w:hanging="576" w:left="576"/>
        <w:rPr/>
      </w:pPr>
      <w:r>
        <w:rPr/>
        <w:t xml:space="preserve">39 </w:t>
      </w:r>
      <w:r>
        <w:rPr>
          <w:i/>
          <w:iCs/>
        </w:rPr>
        <w:t>Queen-Empress v. Khairati</w:t>
      </w:r>
      <w:r>
        <w:rPr/>
        <w:t xml:space="preserve"> (1884) ILR 6 All 204.</w:t>
      </w:r>
    </w:p>
    <w:p>
      <w:pPr>
        <w:pStyle w:val="Normal"/>
        <w:spacing w:before="0" w:after="120"/>
        <w:ind w:hanging="576" w:left="576"/>
        <w:rPr/>
      </w:pPr>
      <w:r>
        <w:rPr/>
        <w:t xml:space="preserve">40 Ann Laura Stoler, </w:t>
      </w:r>
      <w:r>
        <w:rPr>
          <w:i/>
          <w:iCs/>
        </w:rPr>
        <w:t>Carnal Knowledge and Imperial Power: Race and the Intimate in Colonial Rule</w:t>
      </w:r>
      <w:r>
        <w:rPr/>
        <w:t xml:space="preserve"> (Berkeley: University of California Press, 2002).</w:t>
      </w:r>
    </w:p>
    <w:p>
      <w:pPr>
        <w:pStyle w:val="Normal"/>
        <w:spacing w:before="0" w:after="120"/>
        <w:ind w:hanging="576" w:left="576"/>
        <w:rPr/>
      </w:pPr>
      <w:r>
        <w:rPr/>
        <w:t xml:space="preserve">41 Jyoti Puri, </w:t>
      </w:r>
      <w:r>
        <w:rPr>
          <w:i/>
          <w:iCs/>
        </w:rPr>
        <w:t>Sexual States: Governance and the Struggle over the Antisodomy Law in India</w:t>
      </w:r>
      <w:r>
        <w:rPr/>
        <w:t xml:space="preserve"> (Durham: Duke University Press, 2016).</w:t>
      </w:r>
    </w:p>
    <w:p>
      <w:pPr>
        <w:pStyle w:val="Normal"/>
        <w:spacing w:before="0" w:after="120"/>
        <w:ind w:hanging="576" w:left="576"/>
        <w:rPr/>
      </w:pPr>
      <w:r>
        <w:rPr/>
        <w:t xml:space="preserve">42 Arvind Narrain and Gautam Bhan, eds., </w:t>
      </w:r>
      <w:r>
        <w:rPr>
          <w:i/>
          <w:iCs/>
        </w:rPr>
        <w:t>Because I Have a Voice: Queer Politics in India</w:t>
      </w:r>
      <w:r>
        <w:rPr/>
        <w:t xml:space="preserve"> (New Delhi: Yoda Press, 2005).</w:t>
      </w:r>
    </w:p>
    <w:p>
      <w:pPr>
        <w:pStyle w:val="Normal"/>
        <w:spacing w:before="0" w:after="120"/>
        <w:ind w:hanging="576" w:left="576"/>
        <w:rPr/>
      </w:pPr>
      <w:r>
        <w:rPr/>
        <w:t xml:space="preserve">43 Constitution of India, art. 372(1); </w:t>
      </w:r>
      <w:r>
        <w:rPr>
          <w:i/>
          <w:iCs/>
        </w:rPr>
        <w:t>Navtej Singh Johar</w:t>
      </w:r>
      <w:r>
        <w:rPr/>
        <w:t>, per Chandrachud J.</w:t>
      </w:r>
    </w:p>
    <w:p>
      <w:pPr>
        <w:pStyle w:val="Normal"/>
        <w:spacing w:before="0" w:after="120"/>
        <w:ind w:hanging="576" w:left="576"/>
        <w:rPr/>
      </w:pPr>
      <w:r>
        <w:rPr/>
        <w:t xml:space="preserve">44 Law Commission of India, </w:t>
      </w:r>
      <w:r>
        <w:rPr>
          <w:i/>
          <w:iCs/>
        </w:rPr>
        <w:t>Forty-Second Report: Indian Penal Code</w:t>
      </w:r>
      <w:r>
        <w:rPr/>
        <w:t xml:space="preserve"> (1971), as quoted in Law Commission of India, </w:t>
      </w:r>
      <w:r>
        <w:rPr>
          <w:i/>
          <w:iCs/>
        </w:rPr>
        <w:t>One Hundred and Fifty-Sixth Report: The Indian Penal Code</w:t>
      </w:r>
      <w:r>
        <w:rPr/>
        <w:t xml:space="preserve"> (1997), paras. 9.49-9.50; Law Commission of India, </w:t>
      </w:r>
      <w:r>
        <w:rPr>
          <w:i/>
          <w:iCs/>
        </w:rPr>
        <w:t>One Hundred and Seventy-Second Report: Review of Rape Laws</w:t>
      </w:r>
      <w:r>
        <w:rPr/>
        <w:t xml:space="preserve"> (2000).</w:t>
      </w:r>
    </w:p>
    <w:p>
      <w:pPr>
        <w:pStyle w:val="Normal"/>
        <w:spacing w:before="0" w:after="120"/>
        <w:ind w:hanging="576" w:left="576"/>
        <w:rPr/>
      </w:pPr>
      <w:r>
        <w:rPr/>
        <w:t xml:space="preserve">45 </w:t>
      </w:r>
      <w:r>
        <w:rPr>
          <w:i/>
          <w:iCs/>
        </w:rPr>
        <w:t>Navtej Singh Johar</w:t>
      </w:r>
      <w:r>
        <w:rPr/>
        <w:t>, per Misra CJ.</w:t>
      </w:r>
    </w:p>
    <w:p>
      <w:pPr>
        <w:pStyle w:val="Normal"/>
        <w:spacing w:before="0" w:after="120"/>
        <w:ind w:hanging="576" w:left="576"/>
        <w:rPr/>
      </w:pPr>
      <w:r>
        <w:rPr/>
        <w:t xml:space="preserve">46 Enze Han and Joseph O'Mahoney, </w:t>
      </w:r>
      <w:r>
        <w:rPr>
          <w:i/>
          <w:iCs/>
        </w:rPr>
        <w:t>British Colonialism and the Criminalization of Homosexuality: Queens, Crime and Empire</w:t>
      </w:r>
      <w:r>
        <w:rPr/>
        <w:t xml:space="preserve"> (London: Routledge, 2018); Barry Wright, "Macaulay's Indian Penal Code: Historical Context and Originating Principles," in </w:t>
      </w:r>
      <w:r>
        <w:rPr>
          <w:i/>
          <w:iCs/>
        </w:rPr>
        <w:t>Codification, Macaulay and the Indian Penal Code: The Legacies and Modern Challenges of Criminal Law Reform</w:t>
      </w:r>
      <w:r>
        <w:rPr/>
        <w:t>, ed. Wing-Cheong Chan, Barry Wright, and Stanley Yeo (Farnham: Ashgate, 2011).</w:t>
      </w:r>
    </w:p>
    <w:p>
      <w:pPr>
        <w:pStyle w:val="Normal"/>
        <w:spacing w:before="0" w:after="120"/>
        <w:ind w:hanging="576" w:left="576"/>
        <w:rPr/>
      </w:pPr>
      <w:r>
        <w:rPr/>
        <w:t xml:space="preserve">47 Elizabeth Kolsky, "Codification and the Rule of Colonial Difference: Criminal Procedure in British India," </w:t>
      </w:r>
      <w:r>
        <w:rPr>
          <w:i/>
          <w:iCs/>
        </w:rPr>
        <w:t>Law and History Review</w:t>
      </w:r>
      <w:r>
        <w:rPr/>
        <w:t xml:space="preserve"> 23, no. 3 (2005): 631-83.</w:t>
      </w:r>
    </w:p>
    <w:p>
      <w:pPr>
        <w:pStyle w:val="Normal"/>
        <w:spacing w:before="0" w:after="120"/>
        <w:ind w:hanging="576" w:left="576"/>
        <w:rPr/>
      </w:pPr>
      <w:r>
        <w:rPr/>
        <w:t xml:space="preserve">48 Michel Foucault, </w:t>
      </w:r>
      <w:r>
        <w:rPr>
          <w:i/>
          <w:iCs/>
        </w:rPr>
        <w:t>The History of Sexuality, Volume 1: An Introduction</w:t>
      </w:r>
      <w:r>
        <w:rPr/>
        <w:t>, trans. Robert Hurley (New York: Pantheon, 1978), 135-59.</w:t>
      </w:r>
    </w:p>
    <w:p>
      <w:pPr>
        <w:pStyle w:val="Normal"/>
        <w:spacing w:before="0" w:after="120"/>
        <w:ind w:hanging="576" w:left="576"/>
        <w:rPr/>
      </w:pPr>
      <w:r>
        <w:rPr/>
        <w:t xml:space="preserve">49 Thomas Babington Macaulay, speech on the Government of India Bill, House of Commons, 10 July 1833, </w:t>
      </w:r>
      <w:r>
        <w:rPr>
          <w:i/>
          <w:iCs/>
        </w:rPr>
        <w:t>Hansard</w:t>
      </w:r>
      <w:r>
        <w:rPr/>
        <w:t>, 3rd ser., vol. 19.</w:t>
      </w:r>
    </w:p>
    <w:p>
      <w:pPr>
        <w:pStyle w:val="Normal"/>
        <w:spacing w:before="0" w:after="120"/>
        <w:ind w:hanging="576" w:left="576"/>
        <w:rPr/>
      </w:pPr>
      <w:r>
        <w:rPr/>
        <w:t xml:space="preserve">50 On the framing of thuggee as an obstruction to commerce, see W.H. Sleeman, </w:t>
      </w:r>
      <w:r>
        <w:rPr>
          <w:i/>
          <w:iCs/>
        </w:rPr>
        <w:t>Report on the Depredations Committed by the Thug Gangs of Upper and Central India</w:t>
      </w:r>
      <w:r>
        <w:rPr/>
        <w:t xml:space="preserve"> (Calcutta: G.H. Huttmann, Military Orphan Press, 1840); and Radhika Singha, </w:t>
      </w:r>
      <w:r>
        <w:rPr>
          <w:i/>
          <w:iCs/>
        </w:rPr>
        <w:t>A Despotism of Law: Crime and Justice in Early Colonial India</w:t>
      </w:r>
      <w:r>
        <w:rPr/>
        <w:t xml:space="preserve"> (Delhi: Oxford University Press, 1998), ch. 4.</w:t>
      </w:r>
    </w:p>
    <w:p>
      <w:pPr>
        <w:pStyle w:val="Normal"/>
        <w:spacing w:before="0" w:after="120"/>
        <w:ind w:hanging="576" w:left="576"/>
        <w:rPr/>
      </w:pPr>
      <w:r>
        <w:rPr/>
        <w:t xml:space="preserve">51 On the capture of Feringhea and the Jabalpur exhumations, see Sleeman, </w:t>
      </w:r>
      <w:r>
        <w:rPr>
          <w:i/>
          <w:iCs/>
        </w:rPr>
        <w:t>Report on the Depredations</w:t>
      </w:r>
      <w:r>
        <w:rPr/>
        <w:t xml:space="preserve">; and Kim A. Wagner, </w:t>
      </w:r>
      <w:r>
        <w:rPr>
          <w:i/>
          <w:iCs/>
        </w:rPr>
        <w:t>Thuggee: Banditry and the British in Early Nineteenth-Century India</w:t>
      </w:r>
      <w:r>
        <w:rPr/>
        <w:t xml:space="preserve"> (Basingstoke: Palgrave Macmillan, 2007).</w:t>
      </w:r>
    </w:p>
    <w:p>
      <w:pPr>
        <w:pStyle w:val="Normal"/>
        <w:spacing w:before="0" w:after="120"/>
        <w:ind w:hanging="576" w:left="576"/>
        <w:rPr/>
      </w:pPr>
      <w:r>
        <w:rPr/>
        <w:t xml:space="preserve">52 Sleeman, </w:t>
      </w:r>
      <w:r>
        <w:rPr>
          <w:i/>
          <w:iCs/>
        </w:rPr>
        <w:t>Report on the Depredations</w:t>
      </w:r>
      <w:r>
        <w:rPr/>
        <w:t xml:space="preserve">; Singha, </w:t>
      </w:r>
      <w:r>
        <w:rPr>
          <w:i/>
          <w:iCs/>
        </w:rPr>
        <w:t>A Despotism of Law</w:t>
      </w:r>
      <w:r>
        <w:rPr/>
        <w:t>, ch. 4.</w:t>
      </w:r>
    </w:p>
    <w:p>
      <w:pPr>
        <w:pStyle w:val="Normal"/>
        <w:spacing w:before="0" w:after="120"/>
        <w:ind w:hanging="576" w:left="576"/>
        <w:rPr/>
      </w:pPr>
      <w:r>
        <w:rPr/>
        <w:t xml:space="preserve">53 William Bentinck, minute on sati, 8 November 1829, in </w:t>
      </w:r>
      <w:r>
        <w:rPr>
          <w:i/>
          <w:iCs/>
        </w:rPr>
        <w:t>Speeches and Documents on Indian Policy, 1750-1921</w:t>
      </w:r>
      <w:r>
        <w:rPr/>
        <w:t>, ed. Arthur Berriedale Keith, vol. 1 (London: Oxford University Press, 1922), quoting a letter from Lord Hastings of 21 November 1823; the minute records that Hastings left India in 1823.</w:t>
      </w:r>
    </w:p>
    <w:p>
      <w:pPr>
        <w:pStyle w:val="Normal"/>
        <w:spacing w:before="0" w:after="120"/>
        <w:ind w:hanging="576" w:left="576"/>
        <w:rPr/>
      </w:pPr>
      <w:r>
        <w:rPr/>
        <w:t xml:space="preserve">54 Thomas R. Metcalf, </w:t>
      </w:r>
      <w:r>
        <w:rPr>
          <w:i/>
          <w:iCs/>
        </w:rPr>
        <w:t>The Aftermath of Revolt: India, 1857-1870</w:t>
      </w:r>
      <w:r>
        <w:rPr/>
        <w:t xml:space="preserve"> (Princeton: Princeton University Press, 1964).</w:t>
      </w:r>
    </w:p>
    <w:p>
      <w:pPr>
        <w:pStyle w:val="Normal"/>
        <w:spacing w:before="0" w:after="120"/>
        <w:ind w:hanging="576" w:left="576"/>
        <w:rPr/>
      </w:pPr>
      <w:r>
        <w:rPr/>
        <w:t xml:space="preserve">55 Singha, </w:t>
      </w:r>
      <w:r>
        <w:rPr>
          <w:i/>
          <w:iCs/>
        </w:rPr>
        <w:t>A Despotism of Law</w:t>
      </w:r>
      <w:r>
        <w:rPr/>
        <w:t>.</w:t>
      </w:r>
    </w:p>
    <w:p>
      <w:pPr>
        <w:pStyle w:val="Normal"/>
        <w:spacing w:before="0" w:after="120"/>
        <w:ind w:hanging="576" w:left="576"/>
        <w:rPr/>
      </w:pPr>
      <w:r>
        <w:rPr/>
        <w:t xml:space="preserve">56 Dirks, </w:t>
      </w:r>
      <w:r>
        <w:rPr>
          <w:i/>
          <w:iCs/>
        </w:rPr>
        <w:t>Castes of Mind</w:t>
      </w:r>
      <w:r>
        <w:rPr/>
        <w:t>.</w:t>
      </w:r>
    </w:p>
    <w:p>
      <w:pPr>
        <w:pStyle w:val="Normal"/>
        <w:spacing w:before="0" w:after="120"/>
        <w:ind w:hanging="576" w:left="576"/>
        <w:rPr/>
      </w:pPr>
      <w:r>
        <w:rPr/>
        <w:t xml:space="preserve">57 On the displacement and recasting of Islamic criminal law, see Singha, </w:t>
      </w:r>
      <w:r>
        <w:rPr>
          <w:i/>
          <w:iCs/>
        </w:rPr>
        <w:t>A Despotism of Law</w:t>
      </w:r>
      <w:r>
        <w:rPr/>
        <w:t xml:space="preserve">; and Scott Alan Kugle, "Framed, Blamed and Renamed: The Recasting of Islamic Jurisprudence in Colonial South Asia," </w:t>
      </w:r>
      <w:r>
        <w:rPr>
          <w:i/>
          <w:iCs/>
        </w:rPr>
        <w:t>Modern Asian Studies</w:t>
      </w:r>
      <w:r>
        <w:rPr/>
        <w:t xml:space="preserve"> 35, no. 2 (2001): 257-313.</w:t>
      </w:r>
    </w:p>
    <w:p>
      <w:pPr>
        <w:pStyle w:val="Normal"/>
        <w:spacing w:before="0" w:after="120"/>
        <w:ind w:hanging="576" w:left="576"/>
        <w:rPr/>
      </w:pPr>
      <w:r>
        <w:rPr/>
        <w:t xml:space="preserve">58 John Stuart Mill, </w:t>
      </w:r>
      <w:r>
        <w:rPr>
          <w:i/>
          <w:iCs/>
        </w:rPr>
        <w:t>Considerations on Representative Government</w:t>
      </w:r>
      <w:r>
        <w:rPr/>
        <w:t xml:space="preserve"> (London: Parker, Son &amp; Bourn, 1861), ch. 18.</w:t>
      </w:r>
    </w:p>
    <w:p>
      <w:pPr>
        <w:pStyle w:val="Normal"/>
        <w:spacing w:before="0" w:after="120"/>
        <w:ind w:hanging="576" w:left="576"/>
        <w:rPr/>
      </w:pPr>
      <w:r>
        <w:rPr/>
        <w:t xml:space="preserve">59 Jana Tschurenev, "Between Non-Interference in Matters of Religion and the Civilizing Mission: The Prohibition of Suttee in 1829," in Harald Fischer-Tiné and Michael Mann, eds., </w:t>
      </w:r>
      <w:r>
        <w:rPr>
          <w:i/>
          <w:iCs/>
        </w:rPr>
        <w:t>Colonialism as Civilizing Mission: Cultural Ideology in British India</w:t>
      </w:r>
      <w:r>
        <w:rPr/>
        <w:t xml:space="preserve"> (London: Anthem Press, 2004).</w:t>
      </w:r>
    </w:p>
    <w:p>
      <w:pPr>
        <w:pStyle w:val="Normal"/>
        <w:spacing w:before="0" w:after="120"/>
        <w:ind w:hanging="576" w:left="576"/>
        <w:rPr/>
      </w:pPr>
      <w:r>
        <w:rPr/>
        <w:t xml:space="preserve">60 Bentinck, minute on sati; Madhu Kishwar, "Deadly Laws and Zealous Reformers: The Conflicting Interpretations and Politics of Sati," </w:t>
      </w:r>
      <w:r>
        <w:rPr>
          <w:i/>
          <w:iCs/>
        </w:rPr>
        <w:t>Manushi</w:t>
      </w:r>
      <w:r>
        <w:rPr/>
        <w:t>, no. 115.</w:t>
      </w:r>
    </w:p>
    <w:p>
      <w:pPr>
        <w:pStyle w:val="Normal"/>
        <w:spacing w:before="0" w:after="120"/>
        <w:ind w:hanging="576" w:left="576"/>
        <w:rPr/>
      </w:pPr>
      <w:r>
        <w:rPr/>
        <w:t xml:space="preserve">61 Female Infanticide Prevention Act 1870 (Act VIII of 1870); John Cave-Browne, </w:t>
      </w:r>
      <w:r>
        <w:rPr>
          <w:i/>
          <w:iCs/>
        </w:rPr>
        <w:t>Indian Infanticide: Its Origin, Progress, and Suppression</w:t>
      </w:r>
      <w:r>
        <w:rPr/>
        <w:t xml:space="preserve"> (London: W.H. Allen, 1857).</w:t>
      </w:r>
    </w:p>
    <w:p>
      <w:pPr>
        <w:pStyle w:val="Normal"/>
        <w:spacing w:before="0" w:after="120"/>
        <w:ind w:hanging="576" w:left="576"/>
        <w:rPr/>
      </w:pPr>
      <w:r>
        <w:rPr/>
        <w:t xml:space="preserve">62 Alan Hunt, </w:t>
      </w:r>
      <w:r>
        <w:rPr>
          <w:i/>
          <w:iCs/>
        </w:rPr>
        <w:t>Governing Morals: A Social History of Moral Regulation</w:t>
      </w:r>
      <w:r>
        <w:rPr/>
        <w:t xml:space="preserve"> (Cambridge: Cambridge University Press, 1999).</w:t>
      </w:r>
    </w:p>
    <w:p>
      <w:pPr>
        <w:pStyle w:val="Normal"/>
        <w:spacing w:before="0" w:after="120"/>
        <w:ind w:hanging="576" w:left="576"/>
        <w:rPr/>
      </w:pPr>
      <w:r>
        <w:rPr/>
        <w:t xml:space="preserve">63 Act XXX of 1836. On the description of thuggee as a hereditary profession, see Sleeman, </w:t>
      </w:r>
      <w:r>
        <w:rPr>
          <w:i/>
          <w:iCs/>
        </w:rPr>
        <w:t>Report on the Depredations</w:t>
      </w:r>
      <w:r>
        <w:rPr/>
        <w:t xml:space="preserve">; and Wagner, </w:t>
      </w:r>
      <w:r>
        <w:rPr>
          <w:i/>
          <w:iCs/>
        </w:rPr>
        <w:t>Thuggee</w:t>
      </w:r>
      <w:r>
        <w:rPr/>
        <w:t>.</w:t>
      </w:r>
    </w:p>
    <w:p>
      <w:pPr>
        <w:pStyle w:val="Normal"/>
        <w:spacing w:before="0" w:after="120"/>
        <w:ind w:hanging="576" w:left="576"/>
        <w:rPr/>
      </w:pPr>
      <w:r>
        <w:rPr/>
        <w:t>64 Age of Consent Act 1891 (Act X of 1891), amending Indian Penal Code s. 375; Child Marriage Restraint Act 1929 (Act XIX of 1929).</w:t>
      </w:r>
    </w:p>
    <w:p>
      <w:pPr>
        <w:pStyle w:val="Normal"/>
        <w:spacing w:before="0" w:after="120"/>
        <w:ind w:hanging="576" w:left="576"/>
        <w:rPr/>
      </w:pPr>
      <w:r>
        <w:rPr/>
        <w:t>65 Thomas Babington Macaulay, "Minute on Indian Education," 2 February 1835; Wood's Education Despatch, 19 July 1854.</w:t>
      </w:r>
    </w:p>
    <w:p>
      <w:pPr>
        <w:pStyle w:val="Normal"/>
        <w:spacing w:before="0" w:after="120"/>
        <w:ind w:hanging="576" w:left="576"/>
        <w:rPr/>
      </w:pPr>
      <w:r>
        <w:rPr/>
        <w:t xml:space="preserve">66 E.P. Thompson, </w:t>
      </w:r>
      <w:r>
        <w:rPr>
          <w:i/>
          <w:iCs/>
        </w:rPr>
        <w:t>Whigs and Hunters: The Origin of the Black Act</w:t>
      </w:r>
      <w:r>
        <w:rPr/>
        <w:t xml:space="preserve"> (London: Allen Lane, 1975).</w:t>
      </w:r>
    </w:p>
    <w:p>
      <w:pPr>
        <w:pStyle w:val="Normal"/>
        <w:spacing w:before="0" w:after="120"/>
        <w:ind w:hanging="576" w:left="576"/>
        <w:rPr/>
      </w:pPr>
      <w:r>
        <w:rPr/>
        <w:t xml:space="preserve">67 On Ram Mohan Roy's campaign from 1818 and the Brahmo Samaj, see Lata Mani, </w:t>
      </w:r>
      <w:r>
        <w:rPr>
          <w:i/>
          <w:iCs/>
        </w:rPr>
        <w:t>Contentious Traditions: The Debate on Sati in Colonial India</w:t>
      </w:r>
      <w:r>
        <w:rPr/>
        <w:t xml:space="preserve"> (Berkeley: University of California Press, 1998).</w:t>
      </w:r>
    </w:p>
    <w:p>
      <w:pPr>
        <w:pStyle w:val="Normal"/>
        <w:spacing w:before="0" w:after="120"/>
        <w:ind w:hanging="576" w:left="576"/>
        <w:rPr/>
      </w:pPr>
      <w:r>
        <w:rPr/>
        <w:t>68 Bentinck, minute on sati.</w:t>
      </w:r>
    </w:p>
    <w:p>
      <w:pPr>
        <w:pStyle w:val="Normal"/>
        <w:spacing w:before="0" w:after="120"/>
        <w:ind w:hanging="576" w:left="576"/>
        <w:rPr/>
      </w:pPr>
      <w:r>
        <w:rPr/>
        <w:t xml:space="preserve">69 On Roy's congratulatory address and the Dharma Sabha's petition, see Mani, </w:t>
      </w:r>
      <w:r>
        <w:rPr>
          <w:i/>
          <w:iCs/>
        </w:rPr>
        <w:t>Contentious Traditions</w:t>
      </w:r>
      <w:r>
        <w:rPr/>
        <w:t>.</w:t>
      </w:r>
    </w:p>
    <w:p>
      <w:pPr>
        <w:pStyle w:val="Normal"/>
        <w:spacing w:before="0" w:after="120"/>
        <w:ind w:hanging="576" w:left="576"/>
        <w:rPr/>
      </w:pPr>
      <w:r>
        <w:rPr/>
        <w:t xml:space="preserve">70 Ronald Robinson, "Non-European Foundations of European Imperialism: Sketch for a Theory of Collaboration," in </w:t>
      </w:r>
      <w:r>
        <w:rPr>
          <w:i/>
          <w:iCs/>
        </w:rPr>
        <w:t>Studies in the Theory of Imperialism</w:t>
      </w:r>
      <w:r>
        <w:rPr/>
        <w:t>, ed. Roger Owen and Bob Sutcliffe (London: Longman, 1972), 117-42.</w:t>
      </w:r>
    </w:p>
    <w:p>
      <w:pPr>
        <w:pStyle w:val="Normal"/>
        <w:spacing w:before="0" w:after="120"/>
        <w:ind w:hanging="576" w:left="576"/>
        <w:rPr/>
      </w:pPr>
      <w:r>
        <w:rPr/>
        <w:t xml:space="preserve">71 Anil Seal, </w:t>
      </w:r>
      <w:r>
        <w:rPr>
          <w:i/>
          <w:iCs/>
        </w:rPr>
        <w:t>The Emergence of Indian Nationalism: Competition and Collaboration in the Later Nineteenth Century</w:t>
      </w:r>
      <w:r>
        <w:rPr/>
        <w:t xml:space="preserve"> (Cambridge: Cambridge University Press, 1968).</w:t>
      </w:r>
    </w:p>
    <w:p>
      <w:pPr>
        <w:pStyle w:val="Normal"/>
        <w:spacing w:before="0" w:after="120"/>
        <w:ind w:hanging="576" w:left="576"/>
        <w:rPr/>
      </w:pPr>
      <w:r>
        <w:rPr/>
        <w:t xml:space="preserve">72 B.M. Malabari, "Notes on Infant Marriage and Enforced Widowhood" (1884); B.G. Tilak, editorials in </w:t>
      </w:r>
      <w:r>
        <w:rPr>
          <w:i/>
          <w:iCs/>
        </w:rPr>
        <w:t>Kesari</w:t>
      </w:r>
      <w:r>
        <w:rPr/>
        <w:t xml:space="preserve"> and </w:t>
      </w:r>
      <w:r>
        <w:rPr>
          <w:i/>
          <w:iCs/>
        </w:rPr>
        <w:t>Mahratta</w:t>
      </w:r>
      <w:r>
        <w:rPr/>
        <w:t xml:space="preserve">, 15 February 1891. On the controversy and Tilak's position within it, see Tanika Sarkar, "Rhetoric against Age of Consent: Resisting Colonial Reason and Death of a Child-Wife," </w:t>
      </w:r>
      <w:r>
        <w:rPr>
          <w:i/>
          <w:iCs/>
        </w:rPr>
        <w:t>Economic and Political Weekly</w:t>
      </w:r>
      <w:r>
        <w:rPr/>
        <w:t xml:space="preserve"> 28, no. 36 (1993): 1869-78.</w:t>
      </w:r>
    </w:p>
    <w:p>
      <w:pPr>
        <w:pStyle w:val="Normal"/>
        <w:spacing w:before="0" w:after="120"/>
        <w:ind w:hanging="576" w:left="576"/>
        <w:rPr/>
      </w:pPr>
      <w:r>
        <w:rPr/>
        <w:t xml:space="preserve">73 </w:t>
      </w:r>
      <w:r>
        <w:rPr>
          <w:i/>
          <w:iCs/>
        </w:rPr>
        <w:t>Abstract of the Proceedings of the Council of the Governor General of India, Assembled for the Purpose of Making Laws and Regulations</w:t>
      </w:r>
      <w:r>
        <w:rPr/>
        <w:t>, vol. 30 (Calcutta: Superintendent of Government Printing, 1892), sittings of 9 January and 19 March 1891.</w:t>
      </w:r>
    </w:p>
    <w:p>
      <w:pPr>
        <w:pStyle w:val="Normal"/>
        <w:spacing w:before="0" w:after="120"/>
        <w:ind w:hanging="576" w:left="576"/>
        <w:rPr/>
      </w:pPr>
      <w:r>
        <w:rPr/>
        <w:t xml:space="preserve">74 Charles Edward Trevelyan, </w:t>
      </w:r>
      <w:r>
        <w:rPr>
          <w:i/>
          <w:iCs/>
        </w:rPr>
        <w:t>On the Education of the People of India</w:t>
      </w:r>
      <w:r>
        <w:rPr/>
        <w:t xml:space="preserve"> (London: Longman, Orme, Brown, Green &amp; Longmans, 1838), ch. 7, "The Political Tendency of the different Systems of Education in use in India," 190.</w:t>
      </w:r>
    </w:p>
    <w:p>
      <w:pPr>
        <w:pStyle w:val="Normal"/>
        <w:spacing w:before="0" w:after="120"/>
        <w:ind w:hanging="576" w:left="576"/>
        <w:rPr/>
      </w:pPr>
      <w:r>
        <w:rPr/>
        <w:t>75 Ibid., 191-92.</w:t>
      </w:r>
    </w:p>
    <w:p>
      <w:pPr>
        <w:pStyle w:val="Normal"/>
        <w:spacing w:before="0" w:after="120"/>
        <w:ind w:hanging="576" w:left="576"/>
        <w:rPr/>
      </w:pPr>
      <w:r>
        <w:rPr/>
        <w:t>76 Ibid., 192, 195.</w:t>
      </w:r>
    </w:p>
    <w:p>
      <w:pPr>
        <w:pStyle w:val="Normal"/>
        <w:spacing w:before="0" w:after="120"/>
        <w:ind w:hanging="576" w:left="576"/>
        <w:rPr/>
      </w:pPr>
      <w:r>
        <w:rPr/>
        <w:t>77 J.F. Stephen, speech on the Criminal Tribes Bill, Governor-General's Legislative Council, 1871, in which he characterised the communities in question as those with whom crime was a hereditary trade.</w:t>
      </w:r>
    </w:p>
    <w:p>
      <w:pPr>
        <w:pStyle w:val="Normal"/>
        <w:spacing w:before="0" w:after="120"/>
        <w:ind w:hanging="576" w:left="576"/>
        <w:rPr/>
      </w:pPr>
      <w:r>
        <w:rPr/>
        <w:t xml:space="preserve">78 Stephen's speech and the administrative objections are quoted in Sanjay Nigam, "Disciplining and Policing the 'Criminals by Birth,' Part 1," </w:t>
      </w:r>
      <w:r>
        <w:rPr>
          <w:i/>
          <w:iCs/>
        </w:rPr>
        <w:t>Indian Economic and Social History Review</w:t>
      </w:r>
      <w:r>
        <w:rPr/>
        <w:t xml:space="preserve"> 27, no. 2 (1990).</w:t>
      </w:r>
    </w:p>
    <w:p>
      <w:pPr>
        <w:pStyle w:val="Normal"/>
        <w:spacing w:before="0" w:after="120"/>
        <w:ind w:hanging="576" w:left="576"/>
        <w:rPr/>
      </w:pPr>
      <w:r>
        <w:rPr/>
        <w:t xml:space="preserve">79 Report on the Administration of the Criminal Tribes Act in the United Provinces; and, on the reformatory settlement schools and the severing of hereditary transmission more generally, Nigam, "Disciplining and Policing the 'Criminals by Birth'"; Meena Radhakrishna, </w:t>
      </w:r>
      <w:r>
        <w:rPr>
          <w:i/>
          <w:iCs/>
        </w:rPr>
        <w:t>Dishonoured by History: 'Criminal Tribes' and British Colonial Policy</w:t>
      </w:r>
      <w:r>
        <w:rPr/>
        <w:t xml:space="preserve"> (Hyderabad: Orient Longman, 2001).</w:t>
      </w:r>
    </w:p>
    <w:p>
      <w:pPr>
        <w:pStyle w:val="Normal"/>
        <w:spacing w:before="0" w:after="120"/>
        <w:ind w:hanging="576" w:left="576"/>
        <w:rPr/>
      </w:pPr>
      <w:r>
        <w:rPr/>
        <w:t xml:space="preserve">80 Augustine, </w:t>
      </w:r>
      <w:r>
        <w:rPr>
          <w:i/>
          <w:iCs/>
        </w:rPr>
        <w:t>Confessions</w:t>
      </w:r>
      <w:r>
        <w:rPr/>
        <w:t xml:space="preserve">, Book III; Thomas Aquinas, </w:t>
      </w:r>
      <w:r>
        <w:rPr>
          <w:i/>
          <w:iCs/>
        </w:rPr>
        <w:t>Summa Theologiae</w:t>
      </w:r>
      <w:r>
        <w:rPr/>
        <w:t xml:space="preserve"> II-II, Q. 154, art. 12.</w:t>
      </w:r>
    </w:p>
    <w:p>
      <w:pPr>
        <w:pStyle w:val="Normal"/>
        <w:spacing w:before="0" w:after="120"/>
        <w:ind w:hanging="576" w:left="576"/>
        <w:rPr/>
      </w:pPr>
      <w:r>
        <w:rPr/>
        <w:t>81 Burton, "Terminal Essay," vol. 10; and, for the fullest reconstruction of the episode, Gavin Tredoux, "Richard Burton and the Karachi Brothel Report" (2016). The report itself has never been recovered. The sole source is Burton's own retrospective account, written four decades after the events described. The claim that Burton was dismissed is an embellishment introduced by later biographers; the attempt to disgrace him failed.</w:t>
      </w:r>
    </w:p>
    <w:p>
      <w:pPr>
        <w:pStyle w:val="Normal"/>
        <w:spacing w:before="0" w:after="120"/>
        <w:ind w:hanging="576" w:left="576"/>
        <w:rPr/>
      </w:pPr>
      <w:r>
        <w:rPr/>
        <w:t xml:space="preserve">82 </w:t>
      </w:r>
      <w:r>
        <w:rPr>
          <w:i/>
          <w:iCs/>
        </w:rPr>
        <w:t>Khanu v. Emperor</w:t>
      </w:r>
      <w:r>
        <w:rPr/>
        <w:t>, AIR 1925 Sind 286.</w:t>
      </w:r>
    </w:p>
    <w:p>
      <w:pPr>
        <w:pStyle w:val="Normal"/>
        <w:spacing w:before="0" w:after="120"/>
        <w:ind w:hanging="576" w:left="576"/>
        <w:rPr/>
      </w:pPr>
      <w:r>
        <w:rPr/>
        <w:t xml:space="preserve">83 </w:t>
      </w:r>
      <w:r>
        <w:rPr>
          <w:i/>
          <w:iCs/>
        </w:rPr>
        <w:t>Government v. Bapoji Bhatt</w:t>
      </w:r>
      <w:r>
        <w:rPr/>
        <w:t xml:space="preserve"> (1884) 7 Mysore LR 280; for the later adoption of the procreative test, see </w:t>
      </w:r>
      <w:r>
        <w:rPr>
          <w:i/>
          <w:iCs/>
        </w:rPr>
        <w:t>Lohana Vasantlal Devchand v. State</w:t>
      </w:r>
      <w:r>
        <w:rPr/>
        <w:t>, AIR 1968 Guj 352.</w:t>
      </w:r>
    </w:p>
    <w:p>
      <w:pPr>
        <w:pStyle w:val="Normal"/>
        <w:spacing w:before="0" w:after="120"/>
        <w:ind w:hanging="576" w:left="576"/>
        <w:rPr/>
      </w:pPr>
      <w:r>
        <w:rPr/>
        <w:t xml:space="preserve">84 Ronald Hyam, </w:t>
      </w:r>
      <w:r>
        <w:rPr>
          <w:i/>
          <w:iCs/>
        </w:rPr>
        <w:t>Empire and Sexuality: The British Experience</w:t>
      </w:r>
      <w:r>
        <w:rPr/>
        <w:t xml:space="preserve"> (Manchester: Manchester University Press, 1990).</w:t>
      </w:r>
    </w:p>
    <w:p>
      <w:pPr>
        <w:pStyle w:val="Normal"/>
        <w:spacing w:before="0" w:after="120"/>
        <w:ind w:hanging="576" w:left="576"/>
        <w:rPr/>
      </w:pPr>
      <w:r>
        <w:rPr/>
        <w:t xml:space="preserve">85 On the 1869 Bombay conviction of Adolphus Nixdolf, see Rictor Norton, ed., </w:t>
      </w:r>
      <w:r>
        <w:rPr>
          <w:i/>
          <w:iCs/>
        </w:rPr>
        <w:t>Homosexuality in Nineteenth-Century England: A Sourcebook</w:t>
      </w:r>
      <w:r>
        <w:rPr/>
        <w:t xml:space="preserve"> (online edition).</w:t>
      </w:r>
    </w:p>
    <w:p>
      <w:pPr>
        <w:pStyle w:val="Normal"/>
        <w:spacing w:before="0" w:after="120"/>
        <w:ind w:hanging="576" w:left="576"/>
        <w:rPr/>
      </w:pPr>
      <w:r>
        <w:rPr/>
        <w:t>86 Ibid., on the 1863 naval court martial of James A'Hearn and Owen Newman.</w:t>
      </w:r>
    </w:p>
    <w:p>
      <w:pPr>
        <w:pStyle w:val="Normal"/>
        <w:spacing w:before="0" w:after="120"/>
        <w:ind w:hanging="576" w:left="576"/>
        <w:rPr/>
      </w:pPr>
      <w:r>
        <w:rPr/>
        <w:t xml:space="preserve">87 Hinchy, </w:t>
      </w:r>
      <w:r>
        <w:rPr>
          <w:i/>
          <w:iCs/>
        </w:rPr>
        <w:t>Governing Gender and Sexuality</w:t>
      </w:r>
      <w:r>
        <w:rPr/>
        <w:t>, ch. 1.</w:t>
      </w:r>
    </w:p>
    <w:p>
      <w:pPr>
        <w:pStyle w:val="Normal"/>
        <w:spacing w:before="0" w:after="120"/>
        <w:ind w:hanging="576" w:left="576"/>
        <w:rPr/>
      </w:pPr>
      <w:r>
        <w:rPr/>
        <w:t>88 Ibid.</w:t>
      </w:r>
    </w:p>
    <w:p>
      <w:pPr>
        <w:pStyle w:val="Normal"/>
        <w:spacing w:before="0" w:after="120"/>
        <w:ind w:hanging="576" w:left="576"/>
        <w:rPr/>
      </w:pPr>
      <w:r>
        <w:rPr/>
        <w:t xml:space="preserve">89 </w:t>
      </w:r>
      <w:r>
        <w:rPr>
          <w:i/>
          <w:iCs/>
        </w:rPr>
        <w:t>The Laws of Manu</w:t>
      </w:r>
      <w:r>
        <w:rPr/>
        <w:t>, trans. Wendy Doniger with Brian K. Smith (London: Penguin, 1991), XI.175 and VIII.369-70.</w:t>
      </w:r>
    </w:p>
    <w:p>
      <w:pPr>
        <w:pStyle w:val="Normal"/>
        <w:spacing w:before="0" w:after="120"/>
        <w:ind w:hanging="576" w:left="576"/>
        <w:rPr/>
      </w:pPr>
      <w:r>
        <w:rPr/>
        <w:t xml:space="preserve">90 Kautilya, </w:t>
      </w:r>
      <w:r>
        <w:rPr>
          <w:i/>
          <w:iCs/>
        </w:rPr>
        <w:t>Arthashastra</w:t>
      </w:r>
      <w:r>
        <w:rPr/>
        <w:t>, Book IV.</w:t>
      </w:r>
    </w:p>
    <w:p>
      <w:pPr>
        <w:pStyle w:val="Normal"/>
        <w:spacing w:before="0" w:after="120"/>
        <w:ind w:hanging="576" w:left="576"/>
        <w:rPr/>
      </w:pPr>
      <w:r>
        <w:rPr/>
        <w:t xml:space="preserve">91 Criminal Tribes Act 1871, ss. 24 and 27; on the officials' descriptions of hijras, see Hinchy, </w:t>
      </w:r>
      <w:r>
        <w:rPr>
          <w:i/>
          <w:iCs/>
        </w:rPr>
        <w:t>Governing Gender and Sexuality</w:t>
      </w:r>
      <w:r>
        <w:rPr/>
        <w:t>, ch. 1.</w:t>
      </w:r>
    </w:p>
    <w:p>
      <w:pPr>
        <w:pStyle w:val="Normal"/>
        <w:spacing w:before="0" w:after="120"/>
        <w:ind w:hanging="576" w:left="576"/>
        <w:rPr/>
      </w:pPr>
      <w:r>
        <w:rPr/>
        <w:t>92 Wood's Education Despatch, 19 July 1854.</w:t>
      </w:r>
    </w:p>
    <w:p>
      <w:pPr>
        <w:pStyle w:val="Normal"/>
        <w:spacing w:before="0" w:after="120"/>
        <w:ind w:hanging="576" w:left="576"/>
        <w:rPr/>
      </w:pPr>
      <w:r>
        <w:rPr/>
        <w:t xml:space="preserve">93 Altaf Husain Hali, </w:t>
      </w:r>
      <w:r>
        <w:rPr>
          <w:i/>
          <w:iCs/>
        </w:rPr>
        <w:t>Muqaddama-i Shi'r o Sha'iri</w:t>
      </w:r>
      <w:r>
        <w:rPr/>
        <w:t xml:space="preserve"> (1893); C.M. Naim, "The Theme of Homosexual (Pederastic) Love in Pre-Modern Urdu Poetry," in </w:t>
      </w:r>
      <w:r>
        <w:rPr>
          <w:i/>
          <w:iCs/>
        </w:rPr>
        <w:t>Studies in the Urdu Gazal and Prose Fiction</w:t>
      </w:r>
      <w:r>
        <w:rPr/>
        <w:t xml:space="preserve">, ed. Muhammad Umar Memon (Madison: University of Wisconsin, 1979); Charu Gupta, </w:t>
      </w:r>
      <w:r>
        <w:rPr>
          <w:i/>
          <w:iCs/>
        </w:rPr>
        <w:t>Sexuality, Obscenity, Community: Women, Muslims, and the Hindu Public in Colonial India</w:t>
      </w:r>
      <w:r>
        <w:rPr/>
        <w:t xml:space="preserve"> (New Delhi: Permanent Black, 2001).</w:t>
      </w:r>
    </w:p>
    <w:p>
      <w:pPr>
        <w:pStyle w:val="Normal"/>
        <w:spacing w:before="0" w:after="120"/>
        <w:ind w:hanging="576" w:left="576"/>
        <w:rPr/>
      </w:pPr>
      <w:r>
        <w:rPr/>
        <w:t xml:space="preserve">94 Hinchy, </w:t>
      </w:r>
      <w:r>
        <w:rPr>
          <w:i/>
          <w:iCs/>
        </w:rPr>
        <w:t>Governing Gender and Sexuality</w:t>
      </w:r>
      <w:r>
        <w:rPr/>
        <w:t>.</w:t>
      </w:r>
    </w:p>
    <w:p>
      <w:pPr>
        <w:pStyle w:val="Normal"/>
        <w:spacing w:before="0" w:after="120"/>
        <w:ind w:hanging="576" w:left="576"/>
        <w:rPr/>
      </w:pPr>
      <w:r>
        <w:rPr/>
        <w:t xml:space="preserve">95 Indian Law Commissioners, </w:t>
      </w:r>
      <w:r>
        <w:rPr>
          <w:i/>
          <w:iCs/>
        </w:rPr>
        <w:t>A Penal Code</w:t>
      </w:r>
      <w:r>
        <w:rPr/>
        <w:t xml:space="preserve"> (Calcutta, 1837), Notes, Note Q, 90-93; Second Report on the Draft Indian Penal Code (1847), 134-35; both as quoted in Law Commission of India, </w:t>
      </w:r>
      <w:r>
        <w:rPr>
          <w:i/>
          <w:iCs/>
        </w:rPr>
        <w:t>Forty-Second Report</w:t>
      </w:r>
      <w:r>
        <w:rPr/>
        <w:t>, para. 20.13.</w:t>
      </w:r>
    </w:p>
    <w:p>
      <w:pPr>
        <w:pStyle w:val="Normal"/>
        <w:spacing w:before="0" w:after="120"/>
        <w:ind w:hanging="576" w:left="576"/>
        <w:rPr/>
      </w:pPr>
      <w:r>
        <w:rPr/>
        <w:t xml:space="preserve">96 </w:t>
      </w:r>
      <w:r>
        <w:rPr>
          <w:i/>
          <w:iCs/>
        </w:rPr>
        <w:t>Queen-Empress v. Khairati</w:t>
      </w:r>
      <w:r>
        <w:rPr/>
        <w:t xml:space="preserve"> (1884) ILR 6 All 204, per Straight J.</w:t>
      </w:r>
    </w:p>
    <w:p>
      <w:pPr>
        <w:pStyle w:val="Normal"/>
        <w:spacing w:before="0" w:after="120"/>
        <w:ind w:hanging="576" w:left="576"/>
        <w:rPr/>
      </w:pPr>
      <w:r>
        <w:rPr/>
        <w:t xml:space="preserve">97 Cantonment Act 1864; Indian Contagious Diseases Act 1868; Kenneth Ballhatchet, </w:t>
      </w:r>
      <w:r>
        <w:rPr>
          <w:i/>
          <w:iCs/>
        </w:rPr>
        <w:t>Race, Sex and Class under the Raj: Imperial Attitudes and Policies and Their Critics, 1793-1905</w:t>
      </w:r>
      <w:r>
        <w:rPr/>
        <w:t xml:space="preserve"> (London: Weidenfeld and Nicolson, 1980); Philippa Levine, </w:t>
      </w:r>
      <w:r>
        <w:rPr>
          <w:i/>
          <w:iCs/>
        </w:rPr>
        <w:t>Prostitution, Race, and Politics: Policing Venereal Disease in the British Empire</w:t>
      </w:r>
      <w:r>
        <w:rPr/>
        <w:t xml:space="preserve"> (New York: Routledge, 2003).</w:t>
      </w:r>
    </w:p>
    <w:p>
      <w:pPr>
        <w:pStyle w:val="Normal"/>
        <w:spacing w:before="0" w:after="120"/>
        <w:ind w:hanging="576" w:left="576"/>
        <w:rPr/>
      </w:pPr>
      <w:r>
        <w:rPr/>
        <w:t xml:space="preserve">98 Ministry of Home Affairs, affidavit in </w:t>
      </w:r>
      <w:r>
        <w:rPr>
          <w:i/>
          <w:iCs/>
        </w:rPr>
        <w:t>Naz Foundation v. Government of NCT of Delhi</w:t>
      </w:r>
      <w:r>
        <w:rPr/>
        <w:t>, W.P.(C) No. 7455/2001 (2008).</w:t>
      </w:r>
    </w:p>
    <w:p>
      <w:pPr>
        <w:pStyle w:val="Normal"/>
        <w:spacing w:before="0" w:after="120"/>
        <w:ind w:hanging="576" w:left="576"/>
        <w:rPr/>
      </w:pPr>
      <w:r>
        <w:rPr/>
        <w:t xml:space="preserve">99 </w:t>
      </w:r>
      <w:r>
        <w:rPr>
          <w:i/>
          <w:iCs/>
        </w:rPr>
        <w:t>Naz Foundation v. Government of NCT of Delhi</w:t>
      </w:r>
      <w:r>
        <w:rPr/>
        <w:t xml:space="preserve"> (2009) 160 DLT 277; </w:t>
      </w:r>
      <w:r>
        <w:rPr>
          <w:i/>
          <w:iCs/>
        </w:rPr>
        <w:t>Suresh Kumar Koushal</w:t>
      </w:r>
      <w:r>
        <w:rPr/>
        <w:t>, which also sets out the affidavits of the Ministry of Home Affairs and of the National AIDS Control Organisation.</w:t>
      </w:r>
    </w:p>
    <w:p>
      <w:pPr>
        <w:pStyle w:val="Normal"/>
        <w:spacing w:before="0" w:after="120"/>
        <w:ind w:hanging="576" w:left="576"/>
        <w:rPr/>
      </w:pPr>
      <w:r>
        <w:rPr/>
        <w:t>100 Criminal Tribes Act 1911 (Act III of 1911); Criminal Tribes Act 1924 (Act VI of 1924); Criminal Tribes Laws (Repeal) Act 1952 (Act XXIV of 1952).</w:t>
      </w:r>
    </w:p>
    <w:p>
      <w:pPr>
        <w:pStyle w:val="Normal"/>
        <w:spacing w:before="0" w:after="120"/>
        <w:ind w:hanging="576" w:left="576"/>
        <w:rPr/>
      </w:pPr>
      <w:r>
        <w:rPr/>
        <w:t xml:space="preserve">101 Radhakrishna, </w:t>
      </w:r>
      <w:r>
        <w:rPr>
          <w:i/>
          <w:iCs/>
        </w:rPr>
        <w:t>Dishonoured by History</w:t>
      </w:r>
      <w:r>
        <w:rPr/>
        <w:t>.</w:t>
      </w:r>
    </w:p>
    <w:p>
      <w:pPr>
        <w:pStyle w:val="Normal"/>
        <w:spacing w:before="0" w:after="120"/>
        <w:ind w:hanging="576" w:left="576"/>
        <w:rPr/>
      </w:pPr>
      <w:r>
        <w:rPr/>
        <w:t xml:space="preserve">102 </w:t>
      </w:r>
      <w:r>
        <w:rPr>
          <w:i/>
          <w:iCs/>
        </w:rPr>
        <w:t>Supriyo</w:t>
      </w:r>
      <w:r>
        <w:rPr/>
        <w:t xml:space="preserve"> @ </w:t>
      </w:r>
      <w:r>
        <w:rPr>
          <w:i/>
          <w:iCs/>
        </w:rPr>
        <w:t>Supriya Chakraborty v. Union of India</w:t>
      </w:r>
      <w:r>
        <w:rPr/>
        <w:t xml:space="preserve"> (2023).</w:t>
      </w:r>
    </w:p>
    <w:p>
      <w:pPr>
        <w:pStyle w:val="Normal"/>
        <w:spacing w:before="0" w:after="120"/>
        <w:ind w:hanging="576" w:left="576"/>
        <w:rPr/>
      </w:pPr>
      <w:r>
        <w:rPr/>
        <w:t xml:space="preserve">103 </w:t>
      </w:r>
      <w:r>
        <w:rPr>
          <w:i/>
          <w:iCs/>
        </w:rPr>
        <w:t>Navtej Singh Johar</w:t>
      </w:r>
      <w:r>
        <w:rPr/>
        <w:t>, per Malhotra J.</w:t>
      </w:r>
    </w:p>
    <w:p>
      <w:pPr>
        <w:pStyle w:val="Normal"/>
        <w:spacing w:before="0" w:after="120"/>
        <w:ind w:hanging="576" w:left="576"/>
        <w:rPr/>
      </w:pPr>
      <w:r>
        <w:rPr/>
        <w:t>104 Bharatiya Nyaya Sanhita, 2023 (Act 45 of 2023), in force 1 July 2024. On the omission of any equivalent to Section 377 and the resulting protective gap, and on the recommendation of the Parliamentary Standing Committee on Home Affairs of November 2023 that the non-consensual and bestiality provisions be retained, see the Committee's Report on the Bharatiya Nyaya Sanhita Bill, 2023.</w:t>
      </w:r>
    </w:p>
    <w:p>
      <w:pPr>
        <w:pStyle w:val="Normal"/>
        <w:spacing w:before="0" w:after="120"/>
        <w:ind w:hanging="576" w:left="576"/>
        <w:rPr/>
      </w:pPr>
      <w:r>
        <w:rPr/>
        <w:t>105 Theresa May, speech to the Commonwealth Joint Forum, Commonwealth Heads of Government Meeting, London, 17 April 2018; Policing and Crime Act 2017 (c. 3), ss. 164-72.</w:t>
      </w:r>
    </w:p>
    <w:p>
      <w:pPr>
        <w:pStyle w:val="Normal"/>
        <w:spacing w:before="0" w:after="120"/>
        <w:ind w:hanging="576" w:left="576"/>
        <w:rPr/>
      </w:pPr>
      <w:r>
        <w:rPr/>
        <w:t xml:space="preserve">106 Anjali Arondekar, </w:t>
      </w:r>
      <w:r>
        <w:rPr>
          <w:i/>
          <w:iCs/>
        </w:rPr>
        <w:t>For the Record: On Sexuality and the Colonial Archive in India</w:t>
      </w:r>
      <w:r>
        <w:rPr/>
        <w:t xml:space="preserve"> (Durham: Duke University Press, 2009).</w:t>
      </w:r>
    </w:p>
    <w:p>
      <w:pPr>
        <w:pStyle w:val="Normal"/>
        <w:spacing w:before="0" w:after="120"/>
        <w:ind w:hanging="576" w:left="576"/>
        <w:rPr/>
      </w:pPr>
      <w:r>
        <w:rPr/>
        <w:t>107 Human Dignity Trust, "Commonwealth Day 2026: Criminalisation of Same-Sex Intimacy Harms LGBT People in over Half of the Commonwealth," March 2026.</w:t>
      </w:r>
    </w:p>
    <w:p>
      <w:pPr>
        <w:pStyle w:val="Normal"/>
        <w:widowControl/>
        <w:bidi w:val="0"/>
        <w:spacing w:before="0" w:after="0"/>
        <w:ind w:hanging="0" w:left="0"/>
        <w:jc w:val="left"/>
        <w:rPr/>
      </w:pPr>
      <w:r>
        <w:rPr/>
      </w:r>
      <w:r>
        <w:br w:type="page"/>
      </w:r>
    </w:p>
    <w:p>
      <w:pPr>
        <w:pStyle w:val="Heading1"/>
        <w:spacing w:before="0" w:after="200"/>
        <w:rPr/>
      </w:pPr>
      <w:r>
        <w:rPr/>
        <w:t>Bibliography</w:t>
      </w:r>
    </w:p>
    <w:p>
      <w:pPr>
        <w:pStyle w:val="Heading2"/>
        <w:spacing w:before="280" w:after="160"/>
        <w:rPr/>
      </w:pPr>
      <w:r>
        <w:rPr/>
        <w:t>Primary Sources</w:t>
      </w:r>
    </w:p>
    <w:p>
      <w:pPr>
        <w:pStyle w:val="Normal"/>
        <w:keepNext w:val="true"/>
        <w:spacing w:before="240" w:after="120"/>
        <w:rPr/>
      </w:pPr>
      <w:r>
        <w:rPr>
          <w:i/>
          <w:iCs/>
        </w:rPr>
        <w:t>Documents and Contemporary Texts</w:t>
      </w:r>
    </w:p>
    <w:p>
      <w:pPr>
        <w:pStyle w:val="Normal"/>
        <w:spacing w:before="0" w:after="120"/>
        <w:ind w:hanging="720" w:left="720"/>
        <w:rPr/>
      </w:pPr>
      <w:r>
        <w:rPr>
          <w:i/>
          <w:iCs/>
        </w:rPr>
        <w:t>Abstract of the Proceedings of the Council of the Governor General of India, Assembled for the Purpose of Making Laws and Regulations</w:t>
      </w:r>
      <w:r>
        <w:rPr/>
        <w:t>. Vol. 30. Calcutta: Superintendent of Government Printing, 1892.</w:t>
      </w:r>
    </w:p>
    <w:p>
      <w:pPr>
        <w:pStyle w:val="Normal"/>
        <w:spacing w:before="0" w:after="120"/>
        <w:ind w:hanging="720" w:left="720"/>
        <w:rPr/>
      </w:pPr>
      <w:r>
        <w:rPr/>
        <w:t xml:space="preserve">Adam, William. </w:t>
      </w:r>
      <w:r>
        <w:rPr>
          <w:i/>
          <w:iCs/>
        </w:rPr>
        <w:t>Reports on the State of Education in Bengal (1835 and 1838)</w:t>
      </w:r>
      <w:r>
        <w:rPr/>
        <w:t>. Edited by Anathnath Basu. Calcutta: University of Calcutta, 1941.</w:t>
      </w:r>
    </w:p>
    <w:p>
      <w:pPr>
        <w:pStyle w:val="Normal"/>
        <w:spacing w:before="0" w:after="120"/>
        <w:ind w:hanging="720" w:left="720"/>
        <w:rPr/>
      </w:pPr>
      <w:r>
        <w:rPr/>
        <w:t xml:space="preserve">Aquinas, Thomas. </w:t>
      </w:r>
      <w:r>
        <w:rPr>
          <w:i/>
          <w:iCs/>
        </w:rPr>
        <w:t>Summa Theologiae</w:t>
      </w:r>
      <w:r>
        <w:rPr/>
        <w:t>. Translated by the Fathers of the English Dominican Province. London: Burns, Oates &amp; Washbourne, 1920.</w:t>
      </w:r>
    </w:p>
    <w:p>
      <w:pPr>
        <w:pStyle w:val="Normal"/>
        <w:spacing w:before="0" w:after="120"/>
        <w:ind w:hanging="720" w:left="720"/>
        <w:rPr/>
      </w:pPr>
      <w:r>
        <w:rPr/>
        <w:t xml:space="preserve">Augustine. </w:t>
      </w:r>
      <w:r>
        <w:rPr>
          <w:i/>
          <w:iCs/>
        </w:rPr>
        <w:t>Confessions</w:t>
      </w:r>
      <w:r>
        <w:rPr/>
        <w:t>. Translated by Henry Chadwick. Oxford: Oxford University Press, 1991.</w:t>
      </w:r>
    </w:p>
    <w:p>
      <w:pPr>
        <w:pStyle w:val="Normal"/>
        <w:spacing w:before="0" w:after="120"/>
        <w:ind w:hanging="720" w:left="720"/>
        <w:rPr/>
      </w:pPr>
      <w:r>
        <w:rPr/>
        <w:t xml:space="preserve">Babur, Zahir-ud-din Muhammad. </w:t>
      </w:r>
      <w:r>
        <w:rPr>
          <w:i/>
          <w:iCs/>
        </w:rPr>
        <w:t>The Baburnama: Memoirs of Babur, Prince and Emperor</w:t>
      </w:r>
      <w:r>
        <w:rPr/>
        <w:t>. Translated by Wheeler M. Thackston. New York: Modern Library, 2002.</w:t>
      </w:r>
    </w:p>
    <w:p>
      <w:pPr>
        <w:pStyle w:val="Normal"/>
        <w:spacing w:before="0" w:after="120"/>
        <w:ind w:hanging="720" w:left="720"/>
        <w:rPr/>
      </w:pPr>
      <w:r>
        <w:rPr/>
        <w:t xml:space="preserve">Bentinck, William. Minute on sati, 8 November 1829. In </w:t>
      </w:r>
      <w:r>
        <w:rPr>
          <w:i/>
          <w:iCs/>
        </w:rPr>
        <w:t>Speeches and Documents on Indian Policy, 1750-1921</w:t>
      </w:r>
      <w:r>
        <w:rPr/>
        <w:t>, edited by Arthur Berriedale Keith, vol. 1. London: Oxford University Press, 1922.</w:t>
      </w:r>
    </w:p>
    <w:p>
      <w:pPr>
        <w:pStyle w:val="Normal"/>
        <w:spacing w:before="0" w:after="120"/>
        <w:ind w:hanging="720" w:left="720"/>
        <w:rPr/>
      </w:pPr>
      <w:r>
        <w:rPr/>
        <w:t xml:space="preserve">Burton, Richard F. "Terminal Essay." In </w:t>
      </w:r>
      <w:r>
        <w:rPr>
          <w:i/>
          <w:iCs/>
        </w:rPr>
        <w:t>The Book of the Thousand Nights and a Night</w:t>
      </w:r>
      <w:r>
        <w:rPr/>
        <w:t>, vol. 10. Benares: Kamashastra Society, 1886.</w:t>
      </w:r>
    </w:p>
    <w:p>
      <w:pPr>
        <w:pStyle w:val="Normal"/>
        <w:spacing w:before="0" w:after="120"/>
        <w:ind w:hanging="720" w:left="720"/>
        <w:rPr/>
      </w:pPr>
      <w:r>
        <w:rPr/>
        <w:t xml:space="preserve">Cave-Browne, John. </w:t>
      </w:r>
      <w:r>
        <w:rPr>
          <w:i/>
          <w:iCs/>
        </w:rPr>
        <w:t>Indian Infanticide: Its Origin, Progress, and Suppression</w:t>
      </w:r>
      <w:r>
        <w:rPr/>
        <w:t>. London: W.H. Allen, 1857.</w:t>
      </w:r>
    </w:p>
    <w:p>
      <w:pPr>
        <w:pStyle w:val="Normal"/>
        <w:spacing w:before="0" w:after="120"/>
        <w:ind w:hanging="720" w:left="720"/>
        <w:rPr/>
      </w:pPr>
      <w:r>
        <w:rPr/>
        <w:t xml:space="preserve">Coke, Edward. </w:t>
      </w:r>
      <w:r>
        <w:rPr>
          <w:i/>
          <w:iCs/>
        </w:rPr>
        <w:t>The Third Part of the Institutes of the Laws of England</w:t>
      </w:r>
      <w:r>
        <w:rPr/>
        <w:t>. London, 1644.</w:t>
      </w:r>
    </w:p>
    <w:p>
      <w:pPr>
        <w:pStyle w:val="Normal"/>
        <w:spacing w:before="0" w:after="120"/>
        <w:ind w:hanging="720" w:left="720"/>
        <w:rPr/>
      </w:pPr>
      <w:r>
        <w:rPr>
          <w:i/>
          <w:iCs/>
        </w:rPr>
        <w:t>Fatawa-e-Alamgiri</w:t>
      </w:r>
      <w:r>
        <w:rPr/>
        <w:t>. Compiled under Aurangzeb, c. 1667-1675.</w:t>
      </w:r>
    </w:p>
    <w:p>
      <w:pPr>
        <w:pStyle w:val="Normal"/>
        <w:spacing w:before="0" w:after="120"/>
        <w:ind w:hanging="720" w:left="720"/>
        <w:rPr/>
      </w:pPr>
      <w:r>
        <w:rPr/>
        <w:t xml:space="preserve">Government of India. Affidavit in </w:t>
      </w:r>
      <w:r>
        <w:rPr>
          <w:i/>
          <w:iCs/>
        </w:rPr>
        <w:t>Supriyo @ Supriya Chakraborty v. Union of India</w:t>
      </w:r>
      <w:r>
        <w:rPr/>
        <w:t>. Supreme Court of India, April 2023.</w:t>
      </w:r>
    </w:p>
    <w:p>
      <w:pPr>
        <w:pStyle w:val="Normal"/>
        <w:spacing w:before="0" w:after="120"/>
        <w:ind w:hanging="720" w:left="720"/>
        <w:rPr/>
      </w:pPr>
      <w:r>
        <w:rPr/>
        <w:t xml:space="preserve">Hali, Altaf Husain. </w:t>
      </w:r>
      <w:r>
        <w:rPr>
          <w:i/>
          <w:iCs/>
        </w:rPr>
        <w:t>Muqaddama-i Shi'r o Sha'iri</w:t>
      </w:r>
      <w:r>
        <w:rPr/>
        <w:t>. 1893.</w:t>
      </w:r>
    </w:p>
    <w:p>
      <w:pPr>
        <w:pStyle w:val="Normal"/>
        <w:spacing w:before="0" w:after="120"/>
        <w:ind w:hanging="720" w:left="720"/>
        <w:rPr/>
      </w:pPr>
      <w:r>
        <w:rPr/>
        <w:t>Human Dignity Trust. "Commonwealth Day 2026: Criminalisation of Same-Sex Intimacy Harms LGBT People in over Half of the Commonwealth." March 2026.</w:t>
      </w:r>
    </w:p>
    <w:p>
      <w:pPr>
        <w:pStyle w:val="Normal"/>
        <w:spacing w:before="0" w:after="120"/>
        <w:ind w:hanging="720" w:left="720"/>
        <w:rPr/>
      </w:pPr>
      <w:r>
        <w:rPr/>
        <w:t xml:space="preserve">Indian Law Commissioners. </w:t>
      </w:r>
      <w:r>
        <w:rPr>
          <w:i/>
          <w:iCs/>
        </w:rPr>
        <w:t>A Penal Code Prepared by the Indian Law Commissioners</w:t>
      </w:r>
      <w:r>
        <w:rPr/>
        <w:t>. Calcutta, 1837.</w:t>
      </w:r>
    </w:p>
    <w:p>
      <w:pPr>
        <w:pStyle w:val="Normal"/>
        <w:spacing w:before="0" w:after="120"/>
        <w:ind w:hanging="720" w:left="720"/>
        <w:rPr/>
      </w:pPr>
      <w:r>
        <w:rPr/>
        <w:t xml:space="preserve">Indian Law Commissioners. </w:t>
      </w:r>
      <w:r>
        <w:rPr>
          <w:i/>
          <w:iCs/>
        </w:rPr>
        <w:t>The Indian Penal Code, as Originally Framed in 1837, with Notes by T.B. Macaulay, J.M. Macleod, G.W. Anderson, and F. Millett, and the First and Second Reports Thereon, Dated 23rd July 1846 and 24th June 1847, by C.H. Cameron and D. Eliott</w:t>
      </w:r>
      <w:r>
        <w:rPr/>
        <w:t>. Madras: Higginbotham, 1888.</w:t>
      </w:r>
    </w:p>
    <w:p>
      <w:pPr>
        <w:pStyle w:val="Normal"/>
        <w:spacing w:before="0" w:after="120"/>
        <w:ind w:hanging="720" w:left="720"/>
        <w:rPr/>
      </w:pPr>
      <w:r>
        <w:rPr/>
        <w:t xml:space="preserve">Kautilya. </w:t>
      </w:r>
      <w:r>
        <w:rPr>
          <w:i/>
          <w:iCs/>
        </w:rPr>
        <w:t>The Arthashastra</w:t>
      </w:r>
      <w:r>
        <w:rPr/>
        <w:t>. Edited and translated by L.N. Rangarajan. New Delhi: Penguin, 1992.</w:t>
      </w:r>
    </w:p>
    <w:p>
      <w:pPr>
        <w:pStyle w:val="Normal"/>
        <w:spacing w:before="0" w:after="120"/>
        <w:ind w:hanging="720" w:left="720"/>
        <w:rPr/>
      </w:pPr>
      <w:r>
        <w:rPr>
          <w:i/>
          <w:iCs/>
        </w:rPr>
        <w:t>The Laws of Manu</w:t>
      </w:r>
      <w:r>
        <w:rPr/>
        <w:t>. Translated by Wendy Doniger with Brian K. Smith. London: Penguin, 1991.</w:t>
      </w:r>
    </w:p>
    <w:p>
      <w:pPr>
        <w:pStyle w:val="Normal"/>
        <w:spacing w:before="0" w:after="120"/>
        <w:ind w:hanging="720" w:left="720"/>
        <w:rPr/>
      </w:pPr>
      <w:r>
        <w:rPr/>
        <w:t xml:space="preserve">Law Commission of India. </w:t>
      </w:r>
      <w:r>
        <w:rPr>
          <w:i/>
          <w:iCs/>
        </w:rPr>
        <w:t>Forty-Second Report: Indian Penal Code</w:t>
      </w:r>
      <w:r>
        <w:rPr/>
        <w:t>. 1971.</w:t>
      </w:r>
    </w:p>
    <w:p>
      <w:pPr>
        <w:pStyle w:val="Normal"/>
        <w:spacing w:before="0" w:after="120"/>
        <w:ind w:hanging="720" w:left="720"/>
        <w:rPr/>
      </w:pPr>
      <w:r>
        <w:rPr/>
        <w:t xml:space="preserve">Law Commission of India. </w:t>
      </w:r>
      <w:r>
        <w:rPr>
          <w:i/>
          <w:iCs/>
        </w:rPr>
        <w:t>One Hundred and Fifty-Sixth Report: The Indian Penal Code</w:t>
      </w:r>
      <w:r>
        <w:rPr/>
        <w:t>. 1997.</w:t>
      </w:r>
    </w:p>
    <w:p>
      <w:pPr>
        <w:pStyle w:val="Normal"/>
        <w:spacing w:before="0" w:after="120"/>
        <w:ind w:hanging="720" w:left="720"/>
        <w:rPr/>
      </w:pPr>
      <w:r>
        <w:rPr/>
        <w:t xml:space="preserve">Law Commission of India. </w:t>
      </w:r>
      <w:r>
        <w:rPr>
          <w:i/>
          <w:iCs/>
        </w:rPr>
        <w:t>One Hundred and Seventy-Second Report: Review of Rape Laws</w:t>
      </w:r>
      <w:r>
        <w:rPr/>
        <w:t>. 2000.</w:t>
      </w:r>
    </w:p>
    <w:p>
      <w:pPr>
        <w:pStyle w:val="Normal"/>
        <w:spacing w:before="0" w:after="120"/>
        <w:ind w:hanging="720" w:left="720"/>
        <w:rPr/>
      </w:pPr>
      <w:r>
        <w:rPr/>
        <w:t>Macaulay, Thomas Babington. "Minute on Indian Education." 2 February 1835.</w:t>
      </w:r>
    </w:p>
    <w:p>
      <w:pPr>
        <w:pStyle w:val="Normal"/>
        <w:spacing w:before="0" w:after="120"/>
        <w:ind w:hanging="720" w:left="720"/>
        <w:rPr/>
      </w:pPr>
      <w:r>
        <w:rPr/>
        <w:t xml:space="preserve">Macaulay, Thomas Babington. Speech on the Government of India Bill, House of Commons, 10 July 1833. </w:t>
      </w:r>
      <w:r>
        <w:rPr>
          <w:i/>
          <w:iCs/>
        </w:rPr>
        <w:t>Hansard</w:t>
      </w:r>
      <w:r>
        <w:rPr/>
        <w:t>, 3rd ser., vol. 19.</w:t>
      </w:r>
    </w:p>
    <w:p>
      <w:pPr>
        <w:pStyle w:val="Normal"/>
        <w:spacing w:before="0" w:after="120"/>
        <w:ind w:hanging="720" w:left="720"/>
        <w:rPr/>
      </w:pPr>
      <w:r>
        <w:rPr/>
        <w:t>Malabari, B.M. "Notes on Infant Marriage and Enforced Widowhood." 1884.</w:t>
      </w:r>
    </w:p>
    <w:p>
      <w:pPr>
        <w:pStyle w:val="Normal"/>
        <w:spacing w:before="0" w:after="120"/>
        <w:ind w:hanging="720" w:left="720"/>
        <w:rPr/>
      </w:pPr>
      <w:r>
        <w:rPr/>
        <w:t>May, Theresa. Speech to the Commonwealth Joint Forum, Commonwealth Heads of Government Meeting, London, 17 April 2018.</w:t>
      </w:r>
    </w:p>
    <w:p>
      <w:pPr>
        <w:pStyle w:val="Normal"/>
        <w:spacing w:before="0" w:after="120"/>
        <w:ind w:hanging="720" w:left="720"/>
        <w:rPr/>
      </w:pPr>
      <w:r>
        <w:rPr/>
        <w:t xml:space="preserve">Mill, John Stuart. </w:t>
      </w:r>
      <w:r>
        <w:rPr>
          <w:i/>
          <w:iCs/>
        </w:rPr>
        <w:t>Considerations on Representative Government</w:t>
      </w:r>
      <w:r>
        <w:rPr/>
        <w:t>. London: Parker, Son &amp; Bourn, 1861.</w:t>
      </w:r>
    </w:p>
    <w:p>
      <w:pPr>
        <w:pStyle w:val="Normal"/>
        <w:spacing w:before="0" w:after="120"/>
        <w:ind w:hanging="720" w:left="720"/>
        <w:rPr/>
      </w:pPr>
      <w:r>
        <w:rPr/>
        <w:t xml:space="preserve">Ministry of Home Affairs, Government of India. Affidavit in </w:t>
      </w:r>
      <w:r>
        <w:rPr>
          <w:i/>
          <w:iCs/>
        </w:rPr>
        <w:t>Naz Foundation v. Government of NCT of Delhi</w:t>
      </w:r>
      <w:r>
        <w:rPr/>
        <w:t>, W.P.(C) No. 7455/2001. Delhi High Court, 2008.</w:t>
      </w:r>
    </w:p>
    <w:p>
      <w:pPr>
        <w:pStyle w:val="Normal"/>
        <w:spacing w:before="0" w:after="120"/>
        <w:ind w:hanging="720" w:left="720"/>
        <w:rPr/>
      </w:pPr>
      <w:r>
        <w:rPr/>
        <w:t xml:space="preserve">Norton, Rictor, ed. </w:t>
      </w:r>
      <w:r>
        <w:rPr>
          <w:i/>
          <w:iCs/>
        </w:rPr>
        <w:t>Homosexuality in Nineteenth-Century England: A Sourcebook</w:t>
      </w:r>
      <w:r>
        <w:rPr/>
        <w:t>. Online edition.</w:t>
      </w:r>
    </w:p>
    <w:p>
      <w:pPr>
        <w:pStyle w:val="Normal"/>
        <w:spacing w:before="0" w:after="120"/>
        <w:ind w:hanging="720" w:left="720"/>
        <w:rPr/>
      </w:pPr>
      <w:r>
        <w:rPr/>
        <w:t>Parliamentary Standing Committee on Home Affairs. Report on the Bharatiya Nyaya Sanhita Bill, 2023. New Delhi, November 2023.</w:t>
      </w:r>
    </w:p>
    <w:p>
      <w:pPr>
        <w:pStyle w:val="Normal"/>
        <w:spacing w:before="0" w:after="120"/>
        <w:ind w:hanging="720" w:left="720"/>
        <w:rPr/>
      </w:pPr>
      <w:r>
        <w:rPr>
          <w:i/>
          <w:iCs/>
        </w:rPr>
        <w:t>Report on the Administration of the Criminal Tribes Act in the United Provinces</w:t>
      </w:r>
      <w:r>
        <w:rPr/>
        <w:t>.</w:t>
      </w:r>
    </w:p>
    <w:p>
      <w:pPr>
        <w:pStyle w:val="Normal"/>
        <w:spacing w:before="0" w:after="120"/>
        <w:ind w:hanging="720" w:left="720"/>
        <w:rPr/>
      </w:pPr>
      <w:r>
        <w:rPr/>
        <w:t xml:space="preserve">Sleeman, W.H. </w:t>
      </w:r>
      <w:r>
        <w:rPr>
          <w:i/>
          <w:iCs/>
        </w:rPr>
        <w:t>Report on the Depredations Committed by the Thug Gangs of Upper and Central India</w:t>
      </w:r>
      <w:r>
        <w:rPr/>
        <w:t>. Calcutta: G.H. Huttmann, Military Orphan Press, 1840.</w:t>
      </w:r>
    </w:p>
    <w:p>
      <w:pPr>
        <w:pStyle w:val="Normal"/>
        <w:spacing w:before="0" w:after="120"/>
        <w:ind w:hanging="720" w:left="720"/>
        <w:rPr/>
      </w:pPr>
      <w:r>
        <w:rPr/>
        <w:t>Stephen, J.F. Speech on the Criminal Tribes Bill. Governor-General's Legislative Council, 1871.</w:t>
      </w:r>
    </w:p>
    <w:p>
      <w:pPr>
        <w:pStyle w:val="Normal"/>
        <w:spacing w:before="0" w:after="120"/>
        <w:ind w:hanging="720" w:left="720"/>
        <w:rPr/>
      </w:pPr>
      <w:r>
        <w:rPr/>
        <w:t xml:space="preserve">Tilak, B.G. Editorials in </w:t>
      </w:r>
      <w:r>
        <w:rPr>
          <w:i/>
          <w:iCs/>
        </w:rPr>
        <w:t>Kesari</w:t>
      </w:r>
      <w:r>
        <w:rPr/>
        <w:t xml:space="preserve"> and </w:t>
      </w:r>
      <w:r>
        <w:rPr>
          <w:i/>
          <w:iCs/>
        </w:rPr>
        <w:t>Mahratta</w:t>
      </w:r>
      <w:r>
        <w:rPr/>
        <w:t>, 15 February 1891.</w:t>
      </w:r>
    </w:p>
    <w:p>
      <w:pPr>
        <w:pStyle w:val="Normal"/>
        <w:spacing w:before="0" w:after="120"/>
        <w:ind w:hanging="720" w:left="720"/>
        <w:rPr/>
      </w:pPr>
      <w:r>
        <w:rPr/>
        <w:t xml:space="preserve">Trevelyan, Charles Edward. </w:t>
      </w:r>
      <w:r>
        <w:rPr>
          <w:i/>
          <w:iCs/>
        </w:rPr>
        <w:t>On the Education of the People of India</w:t>
      </w:r>
      <w:r>
        <w:rPr/>
        <w:t>. London: Longman, Orme, Brown, Green &amp; Longmans, 1838.</w:t>
      </w:r>
    </w:p>
    <w:p>
      <w:pPr>
        <w:pStyle w:val="Normal"/>
        <w:spacing w:before="0" w:after="120"/>
        <w:ind w:hanging="720" w:left="720"/>
        <w:rPr/>
      </w:pPr>
      <w:r>
        <w:rPr/>
        <w:t xml:space="preserve">Vātsyāyana. </w:t>
      </w:r>
      <w:r>
        <w:rPr>
          <w:i/>
          <w:iCs/>
        </w:rPr>
        <w:t>Kāmasūtra</w:t>
      </w:r>
      <w:r>
        <w:rPr/>
        <w:t>. Translated by Wendy Doniger and Sudhir Kakar. Oxford: Oxford University Press, 2002.</w:t>
      </w:r>
    </w:p>
    <w:p>
      <w:pPr>
        <w:pStyle w:val="Normal"/>
        <w:spacing w:before="0" w:after="120"/>
        <w:ind w:hanging="720" w:left="720"/>
        <w:rPr/>
      </w:pPr>
      <w:r>
        <w:rPr/>
        <w:t>Victoria, Queen. Proclamation to the Princes, Chiefs and People of India, 1 November 1858.</w:t>
      </w:r>
    </w:p>
    <w:p>
      <w:pPr>
        <w:pStyle w:val="Normal"/>
        <w:spacing w:before="0" w:after="120"/>
        <w:ind w:hanging="720" w:left="720"/>
        <w:rPr/>
      </w:pPr>
      <w:r>
        <w:rPr/>
        <w:t>Wood, Charles. Education Despatch, 19 July 1854.</w:t>
      </w:r>
    </w:p>
    <w:p>
      <w:pPr>
        <w:pStyle w:val="Normal"/>
        <w:keepNext w:val="true"/>
        <w:spacing w:before="240" w:after="120"/>
        <w:rPr/>
      </w:pPr>
      <w:r>
        <w:rPr>
          <w:i/>
          <w:iCs/>
        </w:rPr>
        <w:t>Legislation</w:t>
      </w:r>
    </w:p>
    <w:p>
      <w:pPr>
        <w:pStyle w:val="Normal"/>
        <w:spacing w:before="0" w:after="120"/>
        <w:ind w:hanging="720" w:left="720"/>
        <w:rPr/>
      </w:pPr>
      <w:r>
        <w:rPr/>
        <w:t>Act XXX of 1836 (Thuggee).</w:t>
      </w:r>
    </w:p>
    <w:p>
      <w:pPr>
        <w:pStyle w:val="Normal"/>
        <w:spacing w:before="0" w:after="120"/>
        <w:ind w:hanging="720" w:left="720"/>
        <w:rPr/>
      </w:pPr>
      <w:r>
        <w:rPr/>
        <w:t>Age of Consent Act 1891 (Act X of 1891).</w:t>
      </w:r>
    </w:p>
    <w:p>
      <w:pPr>
        <w:pStyle w:val="Normal"/>
        <w:spacing w:before="0" w:after="120"/>
        <w:ind w:hanging="720" w:left="720"/>
        <w:rPr/>
      </w:pPr>
      <w:r>
        <w:rPr/>
        <w:t>Bengal Sati Regulation XVII of 1829.</w:t>
      </w:r>
    </w:p>
    <w:p>
      <w:pPr>
        <w:pStyle w:val="Normal"/>
        <w:spacing w:before="0" w:after="120"/>
        <w:ind w:hanging="720" w:left="720"/>
        <w:rPr/>
      </w:pPr>
      <w:r>
        <w:rPr/>
        <w:t>Bharatiya Nyaya Sanhita, 2023 (Act 45 of 2023).</w:t>
      </w:r>
    </w:p>
    <w:p>
      <w:pPr>
        <w:pStyle w:val="Normal"/>
        <w:spacing w:before="0" w:after="120"/>
        <w:ind w:hanging="720" w:left="720"/>
        <w:rPr/>
      </w:pPr>
      <w:r>
        <w:rPr/>
        <w:t>Buggery Act 1533 (25 Hen. 8 c. 6).</w:t>
      </w:r>
    </w:p>
    <w:p>
      <w:pPr>
        <w:pStyle w:val="Normal"/>
        <w:spacing w:before="0" w:after="120"/>
        <w:ind w:hanging="720" w:left="720"/>
        <w:rPr/>
      </w:pPr>
      <w:r>
        <w:rPr/>
        <w:t>Cantonment Act 1864.</w:t>
      </w:r>
    </w:p>
    <w:p>
      <w:pPr>
        <w:pStyle w:val="Normal"/>
        <w:spacing w:before="0" w:after="120"/>
        <w:ind w:hanging="720" w:left="720"/>
        <w:rPr/>
      </w:pPr>
      <w:r>
        <w:rPr/>
        <w:t>Child Marriage Restraint Act 1929 (Act XIX of 1929).</w:t>
      </w:r>
    </w:p>
    <w:p>
      <w:pPr>
        <w:pStyle w:val="Normal"/>
        <w:spacing w:before="0" w:after="120"/>
        <w:ind w:hanging="720" w:left="720"/>
        <w:rPr/>
      </w:pPr>
      <w:r>
        <w:rPr/>
        <w:t>Constitution of India, 1950.</w:t>
      </w:r>
    </w:p>
    <w:p>
      <w:pPr>
        <w:pStyle w:val="Normal"/>
        <w:spacing w:before="0" w:after="120"/>
        <w:ind w:hanging="720" w:left="720"/>
        <w:rPr/>
      </w:pPr>
      <w:r>
        <w:rPr/>
        <w:t>Constitution of the Republic of South Africa Act 200 of 1993.</w:t>
      </w:r>
    </w:p>
    <w:p>
      <w:pPr>
        <w:pStyle w:val="Normal"/>
        <w:spacing w:before="0" w:after="120"/>
        <w:ind w:hanging="720" w:left="720"/>
        <w:rPr/>
      </w:pPr>
      <w:r>
        <w:rPr/>
        <w:t>Constitution of the Republic of South Africa, 1996.</w:t>
      </w:r>
    </w:p>
    <w:p>
      <w:pPr>
        <w:pStyle w:val="Normal"/>
        <w:spacing w:before="0" w:after="120"/>
        <w:ind w:hanging="720" w:left="720"/>
        <w:rPr/>
      </w:pPr>
      <w:r>
        <w:rPr/>
        <w:t>Criminal Law (India) Act 1828 (9 Geo. 4, c. 74).</w:t>
      </w:r>
    </w:p>
    <w:p>
      <w:pPr>
        <w:pStyle w:val="Normal"/>
        <w:spacing w:before="0" w:after="120"/>
        <w:ind w:hanging="720" w:left="720"/>
        <w:rPr/>
      </w:pPr>
      <w:r>
        <w:rPr/>
        <w:t>Criminal Tribes Act 1871 (Act XXVII of 1871).</w:t>
      </w:r>
    </w:p>
    <w:p>
      <w:pPr>
        <w:pStyle w:val="Normal"/>
        <w:spacing w:before="0" w:after="120"/>
        <w:ind w:hanging="720" w:left="720"/>
        <w:rPr/>
      </w:pPr>
      <w:r>
        <w:rPr/>
        <w:t>Criminal Tribes Act 1911 (Act III of 1911).</w:t>
      </w:r>
    </w:p>
    <w:p>
      <w:pPr>
        <w:pStyle w:val="Normal"/>
        <w:spacing w:before="0" w:after="120"/>
        <w:ind w:hanging="720" w:left="720"/>
        <w:rPr/>
      </w:pPr>
      <w:r>
        <w:rPr/>
        <w:t>Criminal Tribes Act 1924 (Act VI of 1924).</w:t>
      </w:r>
    </w:p>
    <w:p>
      <w:pPr>
        <w:pStyle w:val="Normal"/>
        <w:spacing w:before="0" w:after="120"/>
        <w:ind w:hanging="720" w:left="720"/>
        <w:rPr/>
      </w:pPr>
      <w:r>
        <w:rPr/>
        <w:t>Criminal Tribes Laws (Repeal) Act 1952 (Act XXIV of 1952).</w:t>
      </w:r>
    </w:p>
    <w:p>
      <w:pPr>
        <w:pStyle w:val="Normal"/>
        <w:spacing w:before="0" w:after="120"/>
        <w:ind w:hanging="720" w:left="720"/>
        <w:rPr/>
      </w:pPr>
      <w:r>
        <w:rPr/>
        <w:t>Female Infanticide Prevention Act 1870 (Act VIII of 1870).</w:t>
      </w:r>
    </w:p>
    <w:p>
      <w:pPr>
        <w:pStyle w:val="Normal"/>
        <w:spacing w:before="0" w:after="120"/>
        <w:ind w:hanging="720" w:left="720"/>
        <w:rPr/>
      </w:pPr>
      <w:r>
        <w:rPr/>
        <w:t>Indian Contagious Diseases Act 1868.</w:t>
      </w:r>
    </w:p>
    <w:p>
      <w:pPr>
        <w:pStyle w:val="Normal"/>
        <w:spacing w:before="0" w:after="120"/>
        <w:ind w:hanging="720" w:left="720"/>
        <w:rPr/>
      </w:pPr>
      <w:r>
        <w:rPr/>
        <w:t>Indian Penal Code (Act XLV of 1860).</w:t>
      </w:r>
    </w:p>
    <w:p>
      <w:pPr>
        <w:pStyle w:val="Normal"/>
        <w:spacing w:before="0" w:after="120"/>
        <w:ind w:hanging="720" w:left="720"/>
        <w:rPr/>
      </w:pPr>
      <w:r>
        <w:rPr/>
        <w:t>Offences against the Person Act 1861 (24 &amp; 25 Vict. c. 100).</w:t>
      </w:r>
    </w:p>
    <w:p>
      <w:pPr>
        <w:pStyle w:val="Normal"/>
        <w:spacing w:before="0" w:after="120"/>
        <w:ind w:hanging="720" w:left="720"/>
        <w:rPr/>
      </w:pPr>
      <w:r>
        <w:rPr/>
        <w:t>Policing and Crime Act 2017 (c. 3).</w:t>
      </w:r>
    </w:p>
    <w:p>
      <w:pPr>
        <w:pStyle w:val="Normal"/>
        <w:keepNext w:val="true"/>
        <w:spacing w:before="240" w:after="120"/>
        <w:rPr/>
      </w:pPr>
      <w:r>
        <w:rPr>
          <w:i/>
          <w:iCs/>
        </w:rPr>
        <w:t>Cases</w:t>
      </w:r>
    </w:p>
    <w:p>
      <w:pPr>
        <w:pStyle w:val="Normal"/>
        <w:spacing w:before="0" w:after="120"/>
        <w:ind w:hanging="720" w:left="720"/>
        <w:rPr/>
      </w:pPr>
      <w:r>
        <w:rPr>
          <w:i/>
          <w:iCs/>
        </w:rPr>
        <w:t>Government v. Bapoji Bhatt</w:t>
      </w:r>
      <w:r>
        <w:rPr/>
        <w:t xml:space="preserve"> (1884) 7 Mysore LR 280.</w:t>
      </w:r>
    </w:p>
    <w:p>
      <w:pPr>
        <w:pStyle w:val="Normal"/>
        <w:spacing w:before="0" w:after="120"/>
        <w:ind w:hanging="720" w:left="720"/>
        <w:rPr/>
      </w:pPr>
      <w:r>
        <w:rPr>
          <w:i/>
          <w:iCs/>
        </w:rPr>
        <w:t>Khanu v. Emperor</w:t>
      </w:r>
      <w:r>
        <w:rPr/>
        <w:t>, AIR 1925 Sind 286.</w:t>
      </w:r>
    </w:p>
    <w:p>
      <w:pPr>
        <w:pStyle w:val="Normal"/>
        <w:spacing w:before="0" w:after="120"/>
        <w:ind w:hanging="720" w:left="720"/>
        <w:rPr/>
      </w:pPr>
      <w:r>
        <w:rPr>
          <w:i/>
          <w:iCs/>
        </w:rPr>
        <w:t>Lohana Vasantlal Devchand v. State</w:t>
      </w:r>
      <w:r>
        <w:rPr/>
        <w:t>, AIR 1968 Guj 352.</w:t>
      </w:r>
    </w:p>
    <w:p>
      <w:pPr>
        <w:pStyle w:val="Normal"/>
        <w:spacing w:before="0" w:after="120"/>
        <w:ind w:hanging="720" w:left="720"/>
        <w:rPr/>
      </w:pPr>
      <w:r>
        <w:rPr>
          <w:i/>
          <w:iCs/>
        </w:rPr>
        <w:t>Naz Foundation v. Government of NCT of Delhi</w:t>
      </w:r>
      <w:r>
        <w:rPr/>
        <w:t xml:space="preserve"> (2009) 160 DLT 277.</w:t>
      </w:r>
    </w:p>
    <w:p>
      <w:pPr>
        <w:pStyle w:val="Normal"/>
        <w:spacing w:before="0" w:after="120"/>
        <w:ind w:hanging="720" w:left="720"/>
        <w:rPr/>
      </w:pPr>
      <w:r>
        <w:rPr>
          <w:i/>
          <w:iCs/>
        </w:rPr>
        <w:t>Navtej Singh Johar v. Union of India</w:t>
      </w:r>
      <w:r>
        <w:rPr/>
        <w:t xml:space="preserve"> (2018) 10 SCC 1.</w:t>
      </w:r>
    </w:p>
    <w:p>
      <w:pPr>
        <w:pStyle w:val="Normal"/>
        <w:spacing w:before="0" w:after="120"/>
        <w:ind w:hanging="720" w:left="720"/>
        <w:rPr/>
      </w:pPr>
      <w:r>
        <w:rPr>
          <w:i/>
          <w:iCs/>
        </w:rPr>
        <w:t>Queen-Empress v. Khairati</w:t>
      </w:r>
      <w:r>
        <w:rPr/>
        <w:t xml:space="preserve"> (1884) ILR 6 All 204.</w:t>
      </w:r>
    </w:p>
    <w:p>
      <w:pPr>
        <w:pStyle w:val="Normal"/>
        <w:spacing w:before="0" w:after="120"/>
        <w:ind w:hanging="720" w:left="720"/>
        <w:rPr/>
      </w:pPr>
      <w:r>
        <w:rPr>
          <w:i/>
          <w:iCs/>
        </w:rPr>
        <w:t>Supriyo @ Supriya Chakraborty v. Union of India</w:t>
      </w:r>
      <w:r>
        <w:rPr/>
        <w:t xml:space="preserve"> (2023).</w:t>
      </w:r>
    </w:p>
    <w:p>
      <w:pPr>
        <w:pStyle w:val="Normal"/>
        <w:spacing w:before="0" w:after="120"/>
        <w:ind w:hanging="720" w:left="720"/>
        <w:rPr/>
      </w:pPr>
      <w:r>
        <w:rPr>
          <w:i/>
          <w:iCs/>
        </w:rPr>
        <w:t>Suresh Kumar Koushal v. Naz Foundation</w:t>
      </w:r>
      <w:r>
        <w:rPr/>
        <w:t xml:space="preserve"> (2014) 1 SCC 1.</w:t>
      </w:r>
    </w:p>
    <w:p>
      <w:pPr>
        <w:pStyle w:val="Heading2"/>
        <w:spacing w:before="280" w:after="160"/>
        <w:rPr/>
      </w:pPr>
      <w:r>
        <w:rPr/>
        <w:t>Secondary Sources</w:t>
      </w:r>
    </w:p>
    <w:p>
      <w:pPr>
        <w:pStyle w:val="Normal"/>
        <w:spacing w:before="0" w:after="120"/>
        <w:ind w:hanging="720" w:left="720"/>
        <w:rPr/>
      </w:pPr>
      <w:r>
        <w:rPr/>
        <w:t xml:space="preserve">Alam, Muzaffar. </w:t>
      </w:r>
      <w:r>
        <w:rPr>
          <w:i/>
          <w:iCs/>
        </w:rPr>
        <w:t>The Languages of Political Islam: India 1200-1800</w:t>
      </w:r>
      <w:r>
        <w:rPr/>
        <w:t>. Chicago: University of Chicago Press, 2004.</w:t>
      </w:r>
    </w:p>
    <w:p>
      <w:pPr>
        <w:pStyle w:val="Normal"/>
        <w:spacing w:before="0" w:after="120"/>
        <w:ind w:hanging="720" w:left="720"/>
        <w:rPr/>
      </w:pPr>
      <w:r>
        <w:rPr/>
        <w:t xml:space="preserve">Arondekar, Anjali. </w:t>
      </w:r>
      <w:r>
        <w:rPr>
          <w:i/>
          <w:iCs/>
        </w:rPr>
        <w:t>For the Record: On Sexuality and the Colonial Archive in India</w:t>
      </w:r>
      <w:r>
        <w:rPr/>
        <w:t>. Durham: Duke University Press, 2009.</w:t>
      </w:r>
    </w:p>
    <w:p>
      <w:pPr>
        <w:pStyle w:val="Normal"/>
        <w:spacing w:before="0" w:after="120"/>
        <w:ind w:hanging="720" w:left="720"/>
        <w:rPr/>
      </w:pPr>
      <w:r>
        <w:rPr/>
        <w:t xml:space="preserve">Ballhatchet, Kenneth. </w:t>
      </w:r>
      <w:r>
        <w:rPr>
          <w:i/>
          <w:iCs/>
        </w:rPr>
        <w:t>Race, Sex and Class under the Raj: Imperial Attitudes and Policies and Their Critics, 1793-1905</w:t>
      </w:r>
      <w:r>
        <w:rPr/>
        <w:t>. London: Weidenfeld and Nicolson, 1980.</w:t>
      </w:r>
    </w:p>
    <w:p>
      <w:pPr>
        <w:pStyle w:val="Normal"/>
        <w:spacing w:before="0" w:after="120"/>
        <w:ind w:hanging="720" w:left="720"/>
        <w:rPr/>
      </w:pPr>
      <w:r>
        <w:rPr/>
        <w:t xml:space="preserve">Dasgupta, Rohit K. "Queer Sexuality: A Cultural Narrative of India's Historical Archive." </w:t>
      </w:r>
      <w:r>
        <w:rPr>
          <w:i/>
          <w:iCs/>
        </w:rPr>
        <w:t>Rupkatha Journal on Interdisciplinary Studies in Humanities</w:t>
      </w:r>
      <w:r>
        <w:rPr/>
        <w:t xml:space="preserve"> 3, no. 4 (2011): 651-70.</w:t>
      </w:r>
    </w:p>
    <w:p>
      <w:pPr>
        <w:pStyle w:val="Normal"/>
        <w:spacing w:before="0" w:after="120"/>
        <w:ind w:hanging="720" w:left="720"/>
        <w:rPr/>
      </w:pPr>
      <w:r>
        <w:rPr/>
        <w:t xml:space="preserve">Desai, Devangana. </w:t>
      </w:r>
      <w:r>
        <w:rPr>
          <w:i/>
          <w:iCs/>
        </w:rPr>
        <w:t>Erotic Sculpture of India: A Socio-Cultural Study</w:t>
      </w:r>
      <w:r>
        <w:rPr/>
        <w:t>. New Delhi: Tata McGraw-Hill, 1975.</w:t>
      </w:r>
    </w:p>
    <w:p>
      <w:pPr>
        <w:pStyle w:val="Normal"/>
        <w:spacing w:before="0" w:after="120"/>
        <w:ind w:hanging="720" w:left="720"/>
        <w:rPr/>
      </w:pPr>
      <w:r>
        <w:rPr/>
        <w:t xml:space="preserve">Dirks, Nicholas B. </w:t>
      </w:r>
      <w:r>
        <w:rPr>
          <w:i/>
          <w:iCs/>
        </w:rPr>
        <w:t>Castes of Mind: Colonialism and the Making of Modern India</w:t>
      </w:r>
      <w:r>
        <w:rPr/>
        <w:t>. Princeton: Princeton University Press, 2001.</w:t>
      </w:r>
    </w:p>
    <w:p>
      <w:pPr>
        <w:pStyle w:val="Normal"/>
        <w:spacing w:before="0" w:after="120"/>
        <w:ind w:hanging="720" w:left="720"/>
        <w:rPr/>
      </w:pPr>
      <w:r>
        <w:rPr/>
        <w:t xml:space="preserve">Epprecht, Marc. </w:t>
      </w:r>
      <w:r>
        <w:rPr>
          <w:i/>
          <w:iCs/>
        </w:rPr>
        <w:t>Heterosexual Africa? The History of an Idea from the Age of Exploration to the Age of AIDS</w:t>
      </w:r>
      <w:r>
        <w:rPr/>
        <w:t>. Athens: Ohio University Press, 2008.</w:t>
      </w:r>
    </w:p>
    <w:p>
      <w:pPr>
        <w:pStyle w:val="Normal"/>
        <w:spacing w:before="0" w:after="120"/>
        <w:ind w:hanging="720" w:left="720"/>
        <w:rPr/>
      </w:pPr>
      <w:r>
        <w:rPr/>
        <w:t xml:space="preserve">Epprecht, Marc. </w:t>
      </w:r>
      <w:r>
        <w:rPr>
          <w:i/>
          <w:iCs/>
        </w:rPr>
        <w:t>Hungochani: The History of a Dissident Sexuality in Southern Africa</w:t>
      </w:r>
      <w:r>
        <w:rPr/>
        <w:t>. Montreal: McGill-Queen's University Press, 2004.</w:t>
      </w:r>
    </w:p>
    <w:p>
      <w:pPr>
        <w:pStyle w:val="Normal"/>
        <w:spacing w:before="0" w:after="120"/>
        <w:ind w:hanging="720" w:left="720"/>
        <w:rPr/>
      </w:pPr>
      <w:r>
        <w:rPr/>
        <w:t xml:space="preserve">Foucault, Michel. </w:t>
      </w:r>
      <w:r>
        <w:rPr>
          <w:i/>
          <w:iCs/>
        </w:rPr>
        <w:t>The History of Sexuality</w:t>
      </w:r>
      <w:r>
        <w:rPr/>
        <w:t xml:space="preserve">. Vol. 1, </w:t>
      </w:r>
      <w:r>
        <w:rPr>
          <w:i/>
          <w:iCs/>
        </w:rPr>
        <w:t>An Introduction</w:t>
      </w:r>
      <w:r>
        <w:rPr/>
        <w:t>. Translated by Robert Hurley. New York: Pantheon, 1978.</w:t>
      </w:r>
    </w:p>
    <w:p>
      <w:pPr>
        <w:pStyle w:val="Normal"/>
        <w:spacing w:before="0" w:after="120"/>
        <w:ind w:hanging="720" w:left="720"/>
        <w:rPr/>
      </w:pPr>
      <w:r>
        <w:rPr/>
        <w:t xml:space="preserve">Gupta, Alok. "Section 377 and the Dignity of Indian Homosexuals." </w:t>
      </w:r>
      <w:r>
        <w:rPr>
          <w:i/>
          <w:iCs/>
        </w:rPr>
        <w:t>Economic and Political Weekly</w:t>
      </w:r>
      <w:r>
        <w:rPr/>
        <w:t xml:space="preserve"> 41, no. 46 (2006): 4815-23.</w:t>
      </w:r>
    </w:p>
    <w:p>
      <w:pPr>
        <w:pStyle w:val="Normal"/>
        <w:spacing w:before="0" w:after="120"/>
        <w:ind w:hanging="720" w:left="720"/>
        <w:rPr/>
      </w:pPr>
      <w:r>
        <w:rPr/>
        <w:t xml:space="preserve">Gupta, Charu. </w:t>
      </w:r>
      <w:r>
        <w:rPr>
          <w:i/>
          <w:iCs/>
        </w:rPr>
        <w:t>Sexuality, Obscenity, Community: Women, Muslims, and the Hindu Public in Colonial India</w:t>
      </w:r>
      <w:r>
        <w:rPr/>
        <w:t>. New Delhi: Permanent Black, 2001.</w:t>
      </w:r>
    </w:p>
    <w:p>
      <w:pPr>
        <w:pStyle w:val="Normal"/>
        <w:spacing w:before="0" w:after="120"/>
        <w:ind w:hanging="720" w:left="720"/>
        <w:rPr/>
      </w:pPr>
      <w:r>
        <w:rPr/>
        <w:t xml:space="preserve">Han, Enze, and Joseph O'Mahoney. </w:t>
      </w:r>
      <w:r>
        <w:rPr>
          <w:i/>
          <w:iCs/>
        </w:rPr>
        <w:t>British Colonialism and the Criminalization of Homosexuality: Queens, Crime and Empire</w:t>
      </w:r>
      <w:r>
        <w:rPr/>
        <w:t>. London: Routledge, 2018.</w:t>
      </w:r>
    </w:p>
    <w:p>
      <w:pPr>
        <w:pStyle w:val="Normal"/>
        <w:spacing w:before="0" w:after="120"/>
        <w:ind w:hanging="720" w:left="720"/>
        <w:rPr/>
      </w:pPr>
      <w:r>
        <w:rPr/>
        <w:t xml:space="preserve">Hinchy, Jessica. </w:t>
      </w:r>
      <w:r>
        <w:rPr>
          <w:i/>
          <w:iCs/>
        </w:rPr>
        <w:t>Governing Gender and Sexuality in Colonial India: The Hijra, c.1850-1900</w:t>
      </w:r>
      <w:r>
        <w:rPr/>
        <w:t>. Cambridge: Cambridge University Press, 2019.</w:t>
      </w:r>
    </w:p>
    <w:p>
      <w:pPr>
        <w:pStyle w:val="Normal"/>
        <w:spacing w:before="0" w:after="120"/>
        <w:ind w:hanging="720" w:left="720"/>
        <w:rPr/>
      </w:pPr>
      <w:r>
        <w:rPr/>
        <w:t xml:space="preserve">Human Rights Watch. </w:t>
      </w:r>
      <w:r>
        <w:rPr>
          <w:i/>
          <w:iCs/>
        </w:rPr>
        <w:t>This Alien Legacy: The Origins of "Sodomy" Laws in British Colonialism</w:t>
      </w:r>
      <w:r>
        <w:rPr/>
        <w:t>. Written by Alok Gupta. New York: Human Rights Watch, 2008.</w:t>
      </w:r>
    </w:p>
    <w:p>
      <w:pPr>
        <w:pStyle w:val="Normal"/>
        <w:spacing w:before="0" w:after="120"/>
        <w:ind w:hanging="720" w:left="720"/>
        <w:rPr/>
      </w:pPr>
      <w:r>
        <w:rPr/>
        <w:t xml:space="preserve">Hunt, Alan. </w:t>
      </w:r>
      <w:r>
        <w:rPr>
          <w:i/>
          <w:iCs/>
        </w:rPr>
        <w:t>Governing Morals: A Social History of Moral Regulation</w:t>
      </w:r>
      <w:r>
        <w:rPr/>
        <w:t>. Cambridge: Cambridge University Press, 1999.</w:t>
      </w:r>
    </w:p>
    <w:p>
      <w:pPr>
        <w:pStyle w:val="Normal"/>
        <w:spacing w:before="0" w:after="120"/>
        <w:ind w:hanging="720" w:left="720"/>
        <w:rPr/>
      </w:pPr>
      <w:r>
        <w:rPr/>
        <w:t xml:space="preserve">Hyam, Ronald. </w:t>
      </w:r>
      <w:r>
        <w:rPr>
          <w:i/>
          <w:iCs/>
        </w:rPr>
        <w:t>Empire and Sexuality: The British Experience</w:t>
      </w:r>
      <w:r>
        <w:rPr/>
        <w:t>. Manchester: Manchester University Press, 1990.</w:t>
      </w:r>
    </w:p>
    <w:p>
      <w:pPr>
        <w:pStyle w:val="Normal"/>
        <w:spacing w:before="0" w:after="120"/>
        <w:ind w:hanging="720" w:left="720"/>
        <w:rPr/>
      </w:pPr>
      <w:r>
        <w:rPr/>
        <w:t xml:space="preserve">Kishwar, Madhu. "Deadly Laws and Zealous Reformers: The Conflicting Interpretations and Politics of Sati." </w:t>
      </w:r>
      <w:r>
        <w:rPr>
          <w:i/>
          <w:iCs/>
        </w:rPr>
        <w:t>Manushi</w:t>
      </w:r>
      <w:r>
        <w:rPr/>
        <w:t>, no. 115.</w:t>
      </w:r>
    </w:p>
    <w:p>
      <w:pPr>
        <w:pStyle w:val="Normal"/>
        <w:spacing w:before="0" w:after="120"/>
        <w:ind w:hanging="720" w:left="720"/>
        <w:rPr/>
      </w:pPr>
      <w:r>
        <w:rPr/>
        <w:t xml:space="preserve">Kolsky, Elizabeth. "Codification and the Rule of Colonial Difference: Criminal Procedure in British India." </w:t>
      </w:r>
      <w:r>
        <w:rPr>
          <w:i/>
          <w:iCs/>
        </w:rPr>
        <w:t>Law and History Review</w:t>
      </w:r>
      <w:r>
        <w:rPr/>
        <w:t xml:space="preserve"> 23, no. 3 (2005): 631-83.</w:t>
      </w:r>
    </w:p>
    <w:p>
      <w:pPr>
        <w:pStyle w:val="Normal"/>
        <w:spacing w:before="0" w:after="120"/>
        <w:ind w:hanging="720" w:left="720"/>
        <w:rPr/>
      </w:pPr>
      <w:r>
        <w:rPr/>
        <w:t xml:space="preserve">Kugle, Scott. "Sexuality, Diversity, and Ethics in the Agenda of Progressive Muslims." In </w:t>
      </w:r>
      <w:r>
        <w:rPr>
          <w:i/>
          <w:iCs/>
        </w:rPr>
        <w:t>Progressive Muslims: On Justice, Gender, and Pluralism</w:t>
      </w:r>
      <w:r>
        <w:rPr/>
        <w:t>, edited by Omid Safi. Oxford: Oneworld, 2003.</w:t>
      </w:r>
    </w:p>
    <w:p>
      <w:pPr>
        <w:pStyle w:val="Normal"/>
        <w:spacing w:before="0" w:after="120"/>
        <w:ind w:hanging="720" w:left="720"/>
        <w:rPr/>
      </w:pPr>
      <w:r>
        <w:rPr/>
        <w:t xml:space="preserve">Kugle, Scott. </w:t>
      </w:r>
      <w:r>
        <w:rPr>
          <w:i/>
          <w:iCs/>
        </w:rPr>
        <w:t>Sufis and Saints' Bodies: Mysticism, Corporeality, and Sacred Power in Islam</w:t>
      </w:r>
      <w:r>
        <w:rPr/>
        <w:t>. Chapel Hill: University of North Carolina Press, 2007.</w:t>
      </w:r>
    </w:p>
    <w:p>
      <w:pPr>
        <w:pStyle w:val="Normal"/>
        <w:spacing w:before="0" w:after="120"/>
        <w:ind w:hanging="720" w:left="720"/>
        <w:rPr/>
      </w:pPr>
      <w:r>
        <w:rPr/>
        <w:t xml:space="preserve">Kugle, Scott Alan. "Framed, Blamed and Renamed: The Recasting of Islamic Jurisprudence in Colonial South Asia." </w:t>
      </w:r>
      <w:r>
        <w:rPr>
          <w:i/>
          <w:iCs/>
        </w:rPr>
        <w:t>Modern Asian Studies</w:t>
      </w:r>
      <w:r>
        <w:rPr/>
        <w:t xml:space="preserve"> 35, no. 2 (2001): 257-313.</w:t>
      </w:r>
    </w:p>
    <w:p>
      <w:pPr>
        <w:pStyle w:val="Normal"/>
        <w:spacing w:before="0" w:after="120"/>
        <w:ind w:hanging="720" w:left="720"/>
        <w:rPr/>
      </w:pPr>
      <w:r>
        <w:rPr/>
        <w:t xml:space="preserve">Levine, Philippa. </w:t>
      </w:r>
      <w:r>
        <w:rPr>
          <w:i/>
          <w:iCs/>
        </w:rPr>
        <w:t>Prostitution, Race, and Politics: Policing Venereal Disease in the British Empire</w:t>
      </w:r>
      <w:r>
        <w:rPr/>
        <w:t>. New York: Routledge, 2003.</w:t>
      </w:r>
    </w:p>
    <w:p>
      <w:pPr>
        <w:pStyle w:val="Normal"/>
        <w:spacing w:before="0" w:after="120"/>
        <w:ind w:hanging="720" w:left="720"/>
        <w:rPr/>
      </w:pPr>
      <w:r>
        <w:rPr/>
        <w:t xml:space="preserve">Mani, Lata. </w:t>
      </w:r>
      <w:r>
        <w:rPr>
          <w:i/>
          <w:iCs/>
        </w:rPr>
        <w:t>Contentious Traditions: The Debate on Sati in Colonial India</w:t>
      </w:r>
      <w:r>
        <w:rPr/>
        <w:t>. Berkeley: University of California Press, 1998.</w:t>
      </w:r>
    </w:p>
    <w:p>
      <w:pPr>
        <w:pStyle w:val="Normal"/>
        <w:spacing w:before="0" w:after="120"/>
        <w:ind w:hanging="720" w:left="720"/>
        <w:rPr/>
      </w:pPr>
      <w:r>
        <w:rPr/>
        <w:t xml:space="preserve">Metcalf, Thomas R. </w:t>
      </w:r>
      <w:r>
        <w:rPr>
          <w:i/>
          <w:iCs/>
        </w:rPr>
        <w:t>The Aftermath of Revolt: India, 1857-1870</w:t>
      </w:r>
      <w:r>
        <w:rPr/>
        <w:t>. Princeton: Princeton University Press, 1964.</w:t>
      </w:r>
    </w:p>
    <w:p>
      <w:pPr>
        <w:pStyle w:val="Normal"/>
        <w:spacing w:before="0" w:after="120"/>
        <w:ind w:hanging="720" w:left="720"/>
        <w:rPr/>
      </w:pPr>
      <w:r>
        <w:rPr/>
        <w:t xml:space="preserve">Naim, C.M. "The Theme of Homosexual (Pederastic) Love in Pre-Modern Urdu Poetry." In </w:t>
      </w:r>
      <w:r>
        <w:rPr>
          <w:i/>
          <w:iCs/>
        </w:rPr>
        <w:t>Studies in the Urdu Gazal and Prose Fiction</w:t>
      </w:r>
      <w:r>
        <w:rPr/>
        <w:t>, edited by Muhammad Umar Memon. Madison: University of Wisconsin, 1979.</w:t>
      </w:r>
    </w:p>
    <w:p>
      <w:pPr>
        <w:pStyle w:val="Normal"/>
        <w:spacing w:before="0" w:after="120"/>
        <w:ind w:hanging="720" w:left="720"/>
        <w:rPr/>
      </w:pPr>
      <w:r>
        <w:rPr/>
        <w:t xml:space="preserve">Narrain, Arvind, and Gautam Bhan, eds. </w:t>
      </w:r>
      <w:r>
        <w:rPr>
          <w:i/>
          <w:iCs/>
        </w:rPr>
        <w:t>Because I Have a Voice: Queer Politics in India</w:t>
      </w:r>
      <w:r>
        <w:rPr/>
        <w:t>. New Delhi: Yoda Press, 2005.</w:t>
      </w:r>
    </w:p>
    <w:p>
      <w:pPr>
        <w:pStyle w:val="Normal"/>
        <w:spacing w:before="0" w:after="120"/>
        <w:ind w:hanging="720" w:left="720"/>
        <w:rPr/>
      </w:pPr>
      <w:r>
        <w:rPr/>
        <w:t xml:space="preserve">Nigam, Sanjay. "Disciplining and Policing the 'Criminals by Birth,' Part 1." </w:t>
      </w:r>
      <w:r>
        <w:rPr>
          <w:i/>
          <w:iCs/>
        </w:rPr>
        <w:t>Indian Economic and Social History Review</w:t>
      </w:r>
      <w:r>
        <w:rPr/>
        <w:t xml:space="preserve"> 27, no. 2 (1990).</w:t>
      </w:r>
    </w:p>
    <w:p>
      <w:pPr>
        <w:pStyle w:val="Normal"/>
        <w:spacing w:before="0" w:after="120"/>
        <w:ind w:hanging="720" w:left="720"/>
        <w:rPr/>
      </w:pPr>
      <w:r>
        <w:rPr/>
        <w:t xml:space="preserve">Pattanaik, Devdutt. </w:t>
      </w:r>
      <w:r>
        <w:rPr>
          <w:i/>
          <w:iCs/>
        </w:rPr>
        <w:t>Shikhandi and Other Tales They Don't Tell You</w:t>
      </w:r>
      <w:r>
        <w:rPr/>
        <w:t>. New Delhi: Zubaan/Penguin, 2014.</w:t>
      </w:r>
    </w:p>
    <w:p>
      <w:pPr>
        <w:pStyle w:val="Normal"/>
        <w:spacing w:before="0" w:after="120"/>
        <w:ind w:hanging="720" w:left="720"/>
        <w:rPr/>
      </w:pPr>
      <w:r>
        <w:rPr/>
        <w:t xml:space="preserve">Puri, Jyoti. </w:t>
      </w:r>
      <w:r>
        <w:rPr>
          <w:i/>
          <w:iCs/>
        </w:rPr>
        <w:t>Sexual States: Governance and the Struggle over the Antisodomy Law in India</w:t>
      </w:r>
      <w:r>
        <w:rPr/>
        <w:t>. Durham: Duke University Press, 2016.</w:t>
      </w:r>
    </w:p>
    <w:p>
      <w:pPr>
        <w:pStyle w:val="Normal"/>
        <w:spacing w:before="0" w:after="120"/>
        <w:ind w:hanging="720" w:left="720"/>
        <w:rPr/>
      </w:pPr>
      <w:r>
        <w:rPr/>
        <w:t xml:space="preserve">Radhakrishna, Meena. </w:t>
      </w:r>
      <w:r>
        <w:rPr>
          <w:i/>
          <w:iCs/>
        </w:rPr>
        <w:t>Dishonoured by History: 'Criminal Tribes' and British Colonial Policy</w:t>
      </w:r>
      <w:r>
        <w:rPr/>
        <w:t>. Hyderabad: Orient Longman, 2001.</w:t>
      </w:r>
    </w:p>
    <w:p>
      <w:pPr>
        <w:pStyle w:val="Normal"/>
        <w:spacing w:before="0" w:after="120"/>
        <w:ind w:hanging="720" w:left="720"/>
        <w:rPr/>
      </w:pPr>
      <w:r>
        <w:rPr/>
        <w:t xml:space="preserve">Ramanujan, A.K., trans. </w:t>
      </w:r>
      <w:r>
        <w:rPr>
          <w:i/>
          <w:iCs/>
        </w:rPr>
        <w:t>Speaking of Śiva</w:t>
      </w:r>
      <w:r>
        <w:rPr/>
        <w:t>. Harmondsworth: Penguin, 1973.</w:t>
      </w:r>
    </w:p>
    <w:p>
      <w:pPr>
        <w:pStyle w:val="Normal"/>
        <w:spacing w:before="0" w:after="120"/>
        <w:ind w:hanging="720" w:left="720"/>
        <w:rPr/>
      </w:pPr>
      <w:r>
        <w:rPr/>
        <w:t xml:space="preserve">Robinson, Ronald. "Non-European Foundations of European Imperialism: Sketch for a Theory of Collaboration." In </w:t>
      </w:r>
      <w:r>
        <w:rPr>
          <w:i/>
          <w:iCs/>
        </w:rPr>
        <w:t>Studies in the Theory of Imperialism</w:t>
      </w:r>
      <w:r>
        <w:rPr/>
        <w:t>, edited by Roger Owen and Bob Sutcliffe, 117-42. London: Longman, 1972.</w:t>
      </w:r>
    </w:p>
    <w:p>
      <w:pPr>
        <w:pStyle w:val="Normal"/>
        <w:spacing w:before="0" w:after="120"/>
        <w:ind w:hanging="720" w:left="720"/>
        <w:rPr/>
      </w:pPr>
      <w:r>
        <w:rPr/>
        <w:t xml:space="preserve">Rowson, Everett K. "Homosexuality ii. In Islamic Law." </w:t>
      </w:r>
      <w:r>
        <w:rPr>
          <w:i/>
          <w:iCs/>
        </w:rPr>
        <w:t>Encyclopaedia Iranica</w:t>
      </w:r>
      <w:r>
        <w:rPr/>
        <w:t>, 15 December 2004.</w:t>
      </w:r>
    </w:p>
    <w:p>
      <w:pPr>
        <w:pStyle w:val="Normal"/>
        <w:spacing w:before="0" w:after="120"/>
        <w:ind w:hanging="720" w:left="720"/>
        <w:rPr/>
      </w:pPr>
      <w:r>
        <w:rPr/>
        <w:t xml:space="preserve">Sarkar, Tanika. "Rhetoric against Age of Consent: Resisting Colonial Reason and Death of a Child-Wife." </w:t>
      </w:r>
      <w:r>
        <w:rPr>
          <w:i/>
          <w:iCs/>
        </w:rPr>
        <w:t>Economic and Political Weekly</w:t>
      </w:r>
      <w:r>
        <w:rPr/>
        <w:t xml:space="preserve"> 28, no. 36 (1993): 1869-78.</w:t>
      </w:r>
    </w:p>
    <w:p>
      <w:pPr>
        <w:pStyle w:val="Normal"/>
        <w:spacing w:before="0" w:after="120"/>
        <w:ind w:hanging="720" w:left="720"/>
        <w:rPr/>
      </w:pPr>
      <w:r>
        <w:rPr/>
        <w:t xml:space="preserve">Scharfe, Hartmut. </w:t>
      </w:r>
      <w:r>
        <w:rPr>
          <w:i/>
          <w:iCs/>
        </w:rPr>
        <w:t>Education in Ancient India</w:t>
      </w:r>
      <w:r>
        <w:rPr/>
        <w:t>. Leiden: Brill, 2002.</w:t>
      </w:r>
    </w:p>
    <w:p>
      <w:pPr>
        <w:pStyle w:val="Normal"/>
        <w:spacing w:before="0" w:after="120"/>
        <w:ind w:hanging="720" w:left="720"/>
        <w:rPr/>
      </w:pPr>
      <w:r>
        <w:rPr/>
        <w:t xml:space="preserve">Seal, Anil. </w:t>
      </w:r>
      <w:r>
        <w:rPr>
          <w:i/>
          <w:iCs/>
        </w:rPr>
        <w:t>The Emergence of Indian Nationalism: Competition and Collaboration in the Later Nineteenth Century</w:t>
      </w:r>
      <w:r>
        <w:rPr/>
        <w:t>. Cambridge: Cambridge University Press, 1968.</w:t>
      </w:r>
    </w:p>
    <w:p>
      <w:pPr>
        <w:pStyle w:val="Normal"/>
        <w:spacing w:before="0" w:after="120"/>
        <w:ind w:hanging="720" w:left="720"/>
        <w:rPr/>
      </w:pPr>
      <w:r>
        <w:rPr/>
        <w:t xml:space="preserve">Singha, Radhika. </w:t>
      </w:r>
      <w:r>
        <w:rPr>
          <w:i/>
          <w:iCs/>
        </w:rPr>
        <w:t>A Despotism of Law: Crime and Justice in Early Colonial India</w:t>
      </w:r>
      <w:r>
        <w:rPr/>
        <w:t>. Delhi: Oxford University Press, 1998.</w:t>
      </w:r>
    </w:p>
    <w:p>
      <w:pPr>
        <w:pStyle w:val="Normal"/>
        <w:spacing w:before="0" w:after="120"/>
        <w:ind w:hanging="720" w:left="720"/>
        <w:rPr/>
      </w:pPr>
      <w:r>
        <w:rPr/>
        <w:t xml:space="preserve">Stoler, Ann Laura. </w:t>
      </w:r>
      <w:r>
        <w:rPr>
          <w:i/>
          <w:iCs/>
        </w:rPr>
        <w:t>Carnal Knowledge and Imperial Power: Race and the Intimate in Colonial Rule</w:t>
      </w:r>
      <w:r>
        <w:rPr/>
        <w:t>. Berkeley: University of California Press, 2002.</w:t>
      </w:r>
    </w:p>
    <w:p>
      <w:pPr>
        <w:pStyle w:val="Normal"/>
        <w:spacing w:before="0" w:after="120"/>
        <w:ind w:hanging="720" w:left="720"/>
        <w:rPr/>
      </w:pPr>
      <w:r>
        <w:rPr/>
        <w:t xml:space="preserve">Thompson, E.P. </w:t>
      </w:r>
      <w:r>
        <w:rPr>
          <w:i/>
          <w:iCs/>
        </w:rPr>
        <w:t>Whigs and Hunters: The Origin of the Black Act</w:t>
      </w:r>
      <w:r>
        <w:rPr/>
        <w:t>. London: Allen Lane, 1975.</w:t>
      </w:r>
    </w:p>
    <w:p>
      <w:pPr>
        <w:pStyle w:val="Normal"/>
        <w:spacing w:before="0" w:after="120"/>
        <w:ind w:hanging="720" w:left="720"/>
        <w:rPr/>
      </w:pPr>
      <w:r>
        <w:rPr/>
        <w:t>Tredoux, Gavin. "Richard Burton and the Karachi Brothel Report." 2016.</w:t>
      </w:r>
    </w:p>
    <w:p>
      <w:pPr>
        <w:pStyle w:val="Normal"/>
        <w:spacing w:before="0" w:after="120"/>
        <w:ind w:hanging="720" w:left="720"/>
        <w:rPr/>
      </w:pPr>
      <w:r>
        <w:rPr/>
        <w:t xml:space="preserve">Tschurenev, Jana. "Between Non-Interference in Matters of Religion and the Civilizing Mission: The Prohibition of Suttee in 1829." In </w:t>
      </w:r>
      <w:r>
        <w:rPr>
          <w:i/>
          <w:iCs/>
        </w:rPr>
        <w:t>Colonialism as Civilizing Mission: Cultural Ideology in British India</w:t>
      </w:r>
      <w:r>
        <w:rPr/>
        <w:t>, edited by Harald Fischer-Tiné and Michael Mann. London: Anthem Press, 2004.</w:t>
      </w:r>
    </w:p>
    <w:p>
      <w:pPr>
        <w:pStyle w:val="Normal"/>
        <w:spacing w:before="0" w:after="120"/>
        <w:ind w:hanging="720" w:left="720"/>
        <w:rPr/>
      </w:pPr>
      <w:r>
        <w:rPr/>
        <w:t xml:space="preserve">Vanita, Ruth. </w:t>
      </w:r>
      <w:r>
        <w:rPr>
          <w:i/>
          <w:iCs/>
        </w:rPr>
        <w:t>Gender, Sex and the City: Urdu Rekhtī Poetry in India, 1780-1870</w:t>
      </w:r>
      <w:r>
        <w:rPr/>
        <w:t>. New Delhi: Orient BlackSwan, 2012.</w:t>
      </w:r>
    </w:p>
    <w:p>
      <w:pPr>
        <w:pStyle w:val="Normal"/>
        <w:spacing w:before="0" w:after="120"/>
        <w:ind w:hanging="720" w:left="720"/>
        <w:rPr/>
      </w:pPr>
      <w:r>
        <w:rPr/>
        <w:t xml:space="preserve">Vanita, Ruth, and Saleem Kidwai, eds. </w:t>
      </w:r>
      <w:r>
        <w:rPr>
          <w:i/>
          <w:iCs/>
        </w:rPr>
        <w:t>Same-Sex Love in India: Readings from Literature and History</w:t>
      </w:r>
      <w:r>
        <w:rPr/>
        <w:t>. New York: St. Martin's Press, 2000.</w:t>
      </w:r>
    </w:p>
    <w:p>
      <w:pPr>
        <w:pStyle w:val="Normal"/>
        <w:spacing w:before="0" w:after="120"/>
        <w:ind w:hanging="720" w:left="720"/>
        <w:rPr/>
      </w:pPr>
      <w:r>
        <w:rPr/>
        <w:t xml:space="preserve">Wagner, Kim A. </w:t>
      </w:r>
      <w:r>
        <w:rPr>
          <w:i/>
          <w:iCs/>
        </w:rPr>
        <w:t>Thuggee: Banditry and the British in Early Nineteenth-Century India</w:t>
      </w:r>
      <w:r>
        <w:rPr/>
        <w:t>. Basingstoke: Palgrave Macmillan, 2007.</w:t>
      </w:r>
    </w:p>
    <w:p>
      <w:pPr>
        <w:pStyle w:val="Normal"/>
        <w:spacing w:before="0" w:after="120"/>
        <w:ind w:hanging="720" w:left="720"/>
        <w:rPr/>
      </w:pPr>
      <w:r>
        <w:rPr/>
        <w:t xml:space="preserve">Wright, Barry. "Macaulay's Indian Penal Code: Historical Context and Originating Principles." In </w:t>
      </w:r>
      <w:r>
        <w:rPr>
          <w:i/>
          <w:iCs/>
        </w:rPr>
        <w:t>Codification, Macaulay and the Indian Penal Code: The Legacies and Modern Challenges of Criminal Law Reform</w:t>
      </w:r>
      <w:r>
        <w:rPr/>
        <w:t>, edited by Wing-Cheong Chan, Barry Wright, and Stanley Yeo. Farnham: Ashgate, 2011.</w:t>
      </w:r>
    </w:p>
    <w:p>
      <w:pPr>
        <w:pStyle w:val="Normal"/>
        <w:spacing w:before="0" w:after="120"/>
        <w:ind w:hanging="720" w:left="720"/>
        <w:rPr/>
      </w:pPr>
      <w:r>
        <w:rPr/>
      </w:r>
    </w:p>
    <w:sectPr>
      <w:footerReference w:type="even" r:id="rId2"/>
      <w:footerReference w:type="default" r:id="rId3"/>
      <w:footerReference w:type="first" r:id="rId4"/>
      <w:type w:val="nextPage"/>
      <w:pgSz w:w="12240" w:h="15840"/>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sz w:val="20"/>
        <w:szCs w:val="20"/>
      </w:rPr>
      <w:fldChar w:fldCharType="begin"/>
    </w:r>
    <w:r>
      <w:rPr>
        <w:sz w:val="20"/>
        <w:szCs w:val="20"/>
      </w:rPr>
      <w:instrText xml:space="preserve"> PAGE </w:instrText>
    </w:r>
    <w:r>
      <w:rPr>
        <w:sz w:val="20"/>
        <w:szCs w:val="20"/>
      </w:rPr>
      <w:fldChar w:fldCharType="separate"/>
    </w:r>
    <w:r>
      <w:rPr>
        <w:sz w:val="20"/>
        <w:szCs w:val="20"/>
      </w:rPr>
      <w:t>53</w:t>
    </w:r>
    <w:r>
      <w:rPr>
        <w:sz w:val="20"/>
        <w:szCs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sz w:val="20"/>
        <w:szCs w:val="20"/>
      </w:rPr>
      <w:fldChar w:fldCharType="begin"/>
    </w:r>
    <w:r>
      <w:rPr>
        <w:sz w:val="20"/>
        <w:szCs w:val="20"/>
      </w:rPr>
      <w:instrText xml:space="preserve"> PAGE </w:instrText>
    </w:r>
    <w:r>
      <w:rPr>
        <w:sz w:val="20"/>
        <w:szCs w:val="20"/>
      </w:rPr>
      <w:fldChar w:fldCharType="separate"/>
    </w:r>
    <w:r>
      <w:rPr>
        <w:sz w:val="20"/>
        <w:szCs w:val="20"/>
      </w:rPr>
      <w:t>53</w:t>
    </w:r>
    <w:r>
      <w:rPr>
        <w:sz w:val="20"/>
        <w:szCs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863" w:hanging="360"/>
      </w:pPr>
      <w:rPr>
        <w:rFonts w:ascii="Symbol" w:hAnsi="Symbol" w:cs="Symbol" w:hint="defaul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43"/>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zh-CN"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Heading1">
    <w:name w:val="Heading 1"/>
    <w:uiPriority w:val="9"/>
    <w:qFormat/>
    <w:pPr>
      <w:widowControl/>
      <w:bidi w:val="0"/>
      <w:spacing w:before="0" w:after="0"/>
      <w:jc w:val="left"/>
      <w:outlineLvl w:val="0"/>
    </w:pPr>
    <w:rPr>
      <w:rFonts w:ascii="Times New Roman" w:hAnsi="Times New Roman" w:eastAsia="Times New Roman" w:cs="Times New Roman"/>
      <w:b/>
      <w:bCs/>
      <w:color w:val="000000"/>
      <w:kern w:val="0"/>
      <w:sz w:val="24"/>
      <w:szCs w:val="24"/>
      <w:lang w:val="en-US" w:eastAsia="zh-CN" w:bidi="ar-SA"/>
    </w:rPr>
  </w:style>
  <w:style w:type="paragraph" w:styleId="Heading2">
    <w:name w:val="Heading 2"/>
    <w:uiPriority w:val="9"/>
    <w:unhideWhenUsed/>
    <w:qFormat/>
    <w:pPr>
      <w:widowControl/>
      <w:bidi w:val="0"/>
      <w:spacing w:before="0" w:after="0"/>
      <w:jc w:val="left"/>
      <w:outlineLvl w:val="1"/>
    </w:pPr>
    <w:rPr>
      <w:rFonts w:ascii="Times New Roman" w:hAnsi="Times New Roman" w:eastAsia="Times New Roman" w:cs="Times New Roman"/>
      <w:b/>
      <w:bCs/>
      <w:i/>
      <w:iCs/>
      <w:color w:val="000000"/>
      <w:kern w:val="0"/>
      <w:sz w:val="24"/>
      <w:szCs w:val="24"/>
      <w:lang w:val="en-US" w:eastAsia="zh-CN" w:bidi="ar-SA"/>
    </w:rPr>
  </w:style>
  <w:style w:type="paragraph" w:styleId="Heading3">
    <w:name w:val="Heading 3"/>
    <w:uiPriority w:val="9"/>
    <w:semiHidden/>
    <w:unhideWhenUsed/>
    <w:qFormat/>
    <w:pPr>
      <w:widowControl/>
      <w:bidi w:val="0"/>
      <w:spacing w:before="0" w:after="0"/>
      <w:jc w:val="left"/>
      <w:outlineLvl w:val="2"/>
    </w:pPr>
    <w:rPr>
      <w:rFonts w:ascii="Times New Roman" w:hAnsi="Times New Roman" w:eastAsia="Times New Roman" w:cs="Times New Roman"/>
      <w:color w:val="1F4D78"/>
      <w:kern w:val="0"/>
      <w:sz w:val="24"/>
      <w:szCs w:val="24"/>
      <w:lang w:val="en-US" w:eastAsia="zh-CN" w:bidi="ar-SA"/>
    </w:rPr>
  </w:style>
  <w:style w:type="paragraph" w:styleId="Heading4">
    <w:name w:val="Heading 4"/>
    <w:uiPriority w:val="9"/>
    <w:semiHidden/>
    <w:unhideWhenUsed/>
    <w:qFormat/>
    <w:pPr>
      <w:widowControl/>
      <w:bidi w:val="0"/>
      <w:spacing w:before="0" w:after="0"/>
      <w:jc w:val="left"/>
      <w:outlineLvl w:val="3"/>
    </w:pPr>
    <w:rPr>
      <w:rFonts w:ascii="Times New Roman" w:hAnsi="Times New Roman" w:eastAsia="Times New Roman" w:cs="Times New Roman"/>
      <w:i/>
      <w:iCs/>
      <w:color w:val="2E74B5"/>
      <w:kern w:val="0"/>
      <w:sz w:val="24"/>
      <w:szCs w:val="24"/>
      <w:lang w:val="en-US" w:eastAsia="zh-CN" w:bidi="ar-SA"/>
    </w:rPr>
  </w:style>
  <w:style w:type="paragraph" w:styleId="Heading5">
    <w:name w:val="Heading 5"/>
    <w:uiPriority w:val="9"/>
    <w:semiHidden/>
    <w:unhideWhenUsed/>
    <w:qFormat/>
    <w:pPr>
      <w:widowControl/>
      <w:bidi w:val="0"/>
      <w:spacing w:before="0" w:after="0"/>
      <w:jc w:val="left"/>
      <w:outlineLvl w:val="4"/>
    </w:pPr>
    <w:rPr>
      <w:rFonts w:ascii="Times New Roman" w:hAnsi="Times New Roman" w:eastAsia="Times New Roman" w:cs="Times New Roman"/>
      <w:color w:val="2E74B5"/>
      <w:kern w:val="0"/>
      <w:sz w:val="24"/>
      <w:szCs w:val="24"/>
      <w:lang w:val="en-US" w:eastAsia="zh-CN" w:bidi="ar-SA"/>
    </w:rPr>
  </w:style>
  <w:style w:type="paragraph" w:styleId="Heading6">
    <w:name w:val="Heading 6"/>
    <w:uiPriority w:val="9"/>
    <w:semiHidden/>
    <w:unhideWhenUsed/>
    <w:qFormat/>
    <w:pPr>
      <w:widowControl/>
      <w:bidi w:val="0"/>
      <w:spacing w:before="0" w:after="0"/>
      <w:jc w:val="left"/>
      <w:outlineLvl w:val="5"/>
    </w:pPr>
    <w:rPr>
      <w:rFonts w:ascii="Times New Roman" w:hAnsi="Times New Roman" w:eastAsia="Times New Roman" w:cs="Times New Roman"/>
      <w:color w:val="1F4D78"/>
      <w:kern w:val="0"/>
      <w:sz w:val="24"/>
      <w:szCs w:val="24"/>
      <w:lang w:val="en-US" w:eastAsia="zh-CN"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customStyle="1">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uiPriority w:val="10"/>
    <w:qFormat/>
    <w:pPr>
      <w:widowControl/>
      <w:bidi w:val="0"/>
      <w:spacing w:before="0" w:after="0"/>
      <w:jc w:val="left"/>
    </w:pPr>
    <w:rPr>
      <w:rFonts w:ascii="Times New Roman" w:hAnsi="Times New Roman" w:eastAsia="Times New Roman" w:cs="Times New Roman"/>
      <w:color w:val="auto"/>
      <w:kern w:val="0"/>
      <w:sz w:val="56"/>
      <w:szCs w:val="56"/>
      <w:lang w:val="en-US" w:eastAsia="zh-CN" w:bidi="ar-SA"/>
    </w:rPr>
  </w:style>
  <w:style w:type="paragraph" w:styleId="Strong1" w:customStyle="1">
    <w:name w:val="Strong1"/>
    <w:qFormat/>
    <w:pPr>
      <w:widowControl/>
      <w:bidi w:val="0"/>
      <w:spacing w:before="0" w:after="0"/>
      <w:jc w:val="left"/>
    </w:pPr>
    <w:rPr>
      <w:rFonts w:ascii="Times New Roman" w:hAnsi="Times New Roman" w:eastAsia="Times New Roman" w:cs="Times New Roman"/>
      <w:b/>
      <w:bCs/>
      <w:color w:val="auto"/>
      <w:kern w:val="0"/>
      <w:sz w:val="24"/>
      <w:szCs w:val="24"/>
      <w:lang w:val="en-US" w:eastAsia="zh-CN" w:bidi="ar-SA"/>
    </w:rPr>
  </w:style>
  <w:style w:type="paragraph" w:styleId="ListParagraph">
    <w:name w:val="List Paragraph"/>
    <w:qFormat/>
    <w:pPr>
      <w:widowControl/>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FootnoteText">
    <w:name w:val="Footnote Text"/>
    <w:link w:val="FootnoteTextChar"/>
    <w:uiPriority w:val="99"/>
    <w:semiHidden/>
    <w:unhideWhenUsed/>
    <w:pPr>
      <w:widowControl/>
      <w:bidi w:val="0"/>
      <w:spacing w:before="0" w:after="0"/>
      <w:jc w:val="left"/>
    </w:pPr>
    <w:rPr>
      <w:rFonts w:ascii="Times New Roman" w:hAnsi="Times New Roman" w:eastAsia="Times New Roman" w:cs="Times New Roman"/>
      <w:color w:val="auto"/>
      <w:kern w:val="0"/>
      <w:sz w:val="20"/>
      <w:szCs w:val="20"/>
      <w:lang w:val="en-US" w:eastAsia="zh-CN" w:bidi="ar-SA"/>
    </w:rPr>
  </w:style>
  <w:style w:type="paragraph" w:styleId="EndnoteText">
    <w:name w:val="Endnote Text"/>
    <w:link w:val="EndnoteTextChar"/>
    <w:uiPriority w:val="99"/>
    <w:semiHidden/>
    <w:unhideWhenUsed/>
    <w:pPr>
      <w:widowControl/>
      <w:bidi w:val="0"/>
      <w:spacing w:before="0" w:after="0"/>
      <w:jc w:val="left"/>
    </w:pPr>
    <w:rPr>
      <w:rFonts w:ascii="Times New Roman" w:hAnsi="Times New Roman" w:eastAsia="Times New Roman" w:cs="Times New Roman"/>
      <w:color w:val="auto"/>
      <w:kern w:val="0"/>
      <w:sz w:val="20"/>
      <w:szCs w:val="20"/>
      <w:lang w:val="en-US" w:eastAsia="zh-CN" w:bidi="ar-SA"/>
    </w:rPr>
  </w:style>
  <w:style w:type="paragraph" w:styleId="HeaderandFooter">
    <w:name w:val="Header and Footer"/>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20</Pages>
  <Words>728</Words>
  <Characters>4394</Characters>
  <CharactersWithSpaces>5085</CharactersWithSpaces>
  <Paragraphs>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2026-08-02T01:42:00Z</dcterms:created>
  <dc:creator>Un-named</dc:creator>
  <dc:description/>
  <dc:language>en-US</dc:language>
  <cp:lastModifiedBy/>
  <dcterms:modified xsi:type="dcterms:W3CDTF">2026-10-31T01:06:45Z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